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2A6" w:rsidRPr="00302BF6" w:rsidRDefault="00A802A6" w:rsidP="00302BF6">
      <w:pPr>
        <w:spacing w:line="360" w:lineRule="auto"/>
        <w:jc w:val="center"/>
        <w:rPr>
          <w:rFonts w:ascii="Traditional Arabic" w:hAnsi="Traditional Arabic" w:cs="Traditional Arabic"/>
          <w:b/>
          <w:bCs/>
          <w:sz w:val="44"/>
          <w:szCs w:val="44"/>
          <w:u w:val="single"/>
          <w:rtl/>
        </w:rPr>
      </w:pPr>
      <w:bookmarkStart w:id="0" w:name="_GoBack"/>
      <w:r w:rsidRPr="00302BF6">
        <w:rPr>
          <w:rFonts w:ascii="Traditional Arabic" w:hAnsi="Traditional Arabic" w:cs="Traditional Arabic"/>
          <w:b/>
          <w:bCs/>
          <w:sz w:val="44"/>
          <w:szCs w:val="44"/>
          <w:u w:val="single"/>
          <w:rtl/>
        </w:rPr>
        <w:t>المناسبات في التفسير</w:t>
      </w:r>
    </w:p>
    <w:p w:rsidR="00A802A6" w:rsidRPr="00302BF6" w:rsidRDefault="00A802A6" w:rsidP="00302BF6">
      <w:pPr>
        <w:spacing w:line="360" w:lineRule="auto"/>
        <w:rPr>
          <w:rFonts w:ascii="Traditional Arabic" w:hAnsi="Traditional Arabic" w:cs="Traditional Arabic"/>
          <w:b/>
          <w:bCs/>
          <w:sz w:val="36"/>
          <w:szCs w:val="36"/>
          <w:rtl/>
        </w:rPr>
      </w:pPr>
      <w:r w:rsidRPr="00302BF6">
        <w:rPr>
          <w:rFonts w:ascii="Traditional Arabic" w:hAnsi="Traditional Arabic" w:cs="Traditional Arabic"/>
          <w:b/>
          <w:bCs/>
          <w:sz w:val="36"/>
          <w:szCs w:val="36"/>
          <w:rtl/>
        </w:rPr>
        <w:t>- المناسبة:</w:t>
      </w:r>
      <w:r w:rsidR="00302BF6">
        <w:rPr>
          <w:rFonts w:ascii="Traditional Arabic" w:hAnsi="Traditional Arabic" w:cs="Traditional Arabic" w:hint="cs"/>
          <w:b/>
          <w:bCs/>
          <w:sz w:val="36"/>
          <w:szCs w:val="36"/>
          <w:rtl/>
        </w:rPr>
        <w:t xml:space="preserve"> </w:t>
      </w:r>
      <w:r w:rsidRPr="00302BF6">
        <w:rPr>
          <w:rFonts w:ascii="Traditional Arabic" w:hAnsi="Traditional Arabic" w:cs="Traditional Arabic"/>
          <w:b/>
          <w:bCs/>
          <w:sz w:val="36"/>
          <w:szCs w:val="36"/>
          <w:rtl/>
        </w:rPr>
        <w:t>هي في اللغة المقاربة والمشاكلة. يقال : فلان يناسب فلاناً ، أي يقاربه ويشاكله. ومنه النسيب الذي هو القريب المتصل بغيره ، كالأخ وابن العم.</w:t>
      </w:r>
    </w:p>
    <w:p w:rsidR="00A802A6" w:rsidRPr="00302BF6" w:rsidRDefault="00A802A6" w:rsidP="00302BF6">
      <w:pPr>
        <w:spacing w:line="360" w:lineRule="auto"/>
        <w:rPr>
          <w:rFonts w:ascii="Traditional Arabic" w:hAnsi="Traditional Arabic" w:cs="Traditional Arabic"/>
          <w:b/>
          <w:bCs/>
          <w:sz w:val="36"/>
          <w:szCs w:val="36"/>
          <w:rtl/>
        </w:rPr>
      </w:pPr>
      <w:r w:rsidRPr="00302BF6">
        <w:rPr>
          <w:rFonts w:ascii="Traditional Arabic" w:hAnsi="Traditional Arabic" w:cs="Traditional Arabic"/>
          <w:b/>
          <w:bCs/>
          <w:sz w:val="36"/>
          <w:szCs w:val="36"/>
          <w:rtl/>
        </w:rPr>
        <w:t>- واصطلاحاً : هي علم تعرف منه علل ترتيب أجزاء القرآن. [نظم الدرر للبقاعي 1/6]</w:t>
      </w:r>
    </w:p>
    <w:p w:rsidR="00A802A6" w:rsidRPr="00302BF6" w:rsidRDefault="00A802A6" w:rsidP="00302BF6">
      <w:pPr>
        <w:spacing w:line="360" w:lineRule="auto"/>
        <w:rPr>
          <w:rFonts w:ascii="Traditional Arabic" w:hAnsi="Traditional Arabic" w:cs="Traditional Arabic"/>
          <w:b/>
          <w:bCs/>
          <w:sz w:val="36"/>
          <w:szCs w:val="36"/>
          <w:rtl/>
        </w:rPr>
      </w:pPr>
      <w:r w:rsidRPr="00302BF6">
        <w:rPr>
          <w:rFonts w:ascii="Traditional Arabic" w:hAnsi="Traditional Arabic" w:cs="Traditional Arabic"/>
          <w:b/>
          <w:bCs/>
          <w:sz w:val="36"/>
          <w:szCs w:val="36"/>
          <w:rtl/>
        </w:rPr>
        <w:t>وقد عبر عنه الإمام عبدالحميد الفراهي رحمه الله بـ(نظام القرآن) ، وبعضهم يبحثه تحت ما يسمى بـ(الوحدة الموضوعية).</w:t>
      </w:r>
    </w:p>
    <w:p w:rsidR="00A802A6" w:rsidRPr="00302BF6" w:rsidRDefault="00A802A6" w:rsidP="00302BF6">
      <w:pPr>
        <w:spacing w:line="360" w:lineRule="auto"/>
        <w:rPr>
          <w:rFonts w:ascii="Traditional Arabic" w:hAnsi="Traditional Arabic" w:cs="Traditional Arabic"/>
          <w:b/>
          <w:bCs/>
          <w:sz w:val="36"/>
          <w:szCs w:val="36"/>
          <w:u w:val="single"/>
          <w:rtl/>
        </w:rPr>
      </w:pPr>
      <w:r w:rsidRPr="00302BF6">
        <w:rPr>
          <w:rFonts w:ascii="Traditional Arabic" w:hAnsi="Traditional Arabic" w:cs="Traditional Arabic"/>
          <w:b/>
          <w:bCs/>
          <w:sz w:val="36"/>
          <w:szCs w:val="36"/>
          <w:u w:val="single"/>
          <w:rtl/>
        </w:rPr>
        <w:t xml:space="preserve">أهميته : </w:t>
      </w:r>
    </w:p>
    <w:p w:rsidR="00A802A6" w:rsidRPr="00302BF6" w:rsidRDefault="00A802A6" w:rsidP="00302BF6">
      <w:pPr>
        <w:spacing w:line="360" w:lineRule="auto"/>
        <w:rPr>
          <w:rFonts w:ascii="Traditional Arabic" w:hAnsi="Traditional Arabic" w:cs="Traditional Arabic"/>
          <w:b/>
          <w:bCs/>
          <w:sz w:val="36"/>
          <w:szCs w:val="36"/>
          <w:rtl/>
        </w:rPr>
      </w:pPr>
      <w:r w:rsidRPr="00302BF6">
        <w:rPr>
          <w:rFonts w:ascii="Traditional Arabic" w:hAnsi="Traditional Arabic" w:cs="Traditional Arabic"/>
          <w:b/>
          <w:bCs/>
          <w:sz w:val="36"/>
          <w:szCs w:val="36"/>
          <w:rtl/>
        </w:rPr>
        <w:t>علم المناسبات علم جليل القدر وقد نبه إلى أهميته عدد من العلماء من أبرزهم الفخر الرازي حيث قال:«أكثر لطائف القرآن مودعة في الترتيبات والروابط». وقال السيوطي في معترك الأقران:«علم المناسبة علم شريف قل اعتناء المفسرين به لدقته».</w:t>
      </w:r>
    </w:p>
    <w:p w:rsidR="00302BF6" w:rsidRPr="00302BF6" w:rsidRDefault="00A802A6" w:rsidP="00302BF6">
      <w:pPr>
        <w:spacing w:line="360" w:lineRule="auto"/>
        <w:rPr>
          <w:rFonts w:ascii="Traditional Arabic" w:hAnsi="Traditional Arabic" w:cs="Traditional Arabic"/>
          <w:b/>
          <w:bCs/>
          <w:sz w:val="36"/>
          <w:szCs w:val="36"/>
          <w:rtl/>
        </w:rPr>
      </w:pPr>
      <w:r w:rsidRPr="00302BF6">
        <w:rPr>
          <w:rFonts w:ascii="Traditional Arabic" w:hAnsi="Traditional Arabic" w:cs="Traditional Arabic"/>
          <w:b/>
          <w:bCs/>
          <w:sz w:val="36"/>
          <w:szCs w:val="36"/>
          <w:rtl/>
        </w:rPr>
        <w:t>وقال البقاعي في نظم الدرر:«وهو سر البلاغة ؛ لأدائه إلى تحقيق مطابقة المعاني لما اقتضاه من الحال ، وتتوقف الإجازة فيه على معرفة مقصود السورة المطلوب ذلك فيها ، ويفيد ذلك في معرفة المقصود من جميع جملها ، فلذلك كان هذا العلم في غاية النفاسة ، وكانت نسبته من علم التفسير كنسبة علم البيان من النحو». وقال العز بن عبدالسلام فيه :«المناسبة علم حسن ، لكن يشترط في حسن ارتباط الكلام أن يقع في أمر متحد مرتبط أوله بآخره».</w:t>
      </w:r>
    </w:p>
    <w:p w:rsidR="00A802A6" w:rsidRPr="00302BF6" w:rsidRDefault="00A802A6" w:rsidP="00302BF6">
      <w:pPr>
        <w:spacing w:line="360" w:lineRule="auto"/>
        <w:rPr>
          <w:rFonts w:ascii="Traditional Arabic" w:hAnsi="Traditional Arabic" w:cs="Traditional Arabic"/>
          <w:b/>
          <w:bCs/>
          <w:sz w:val="36"/>
          <w:szCs w:val="36"/>
          <w:rtl/>
        </w:rPr>
      </w:pPr>
      <w:r w:rsidRPr="00302BF6">
        <w:rPr>
          <w:rFonts w:ascii="Traditional Arabic" w:hAnsi="Traditional Arabic" w:cs="Traditional Arabic"/>
          <w:b/>
          <w:bCs/>
          <w:sz w:val="36"/>
          <w:szCs w:val="36"/>
          <w:rtl/>
        </w:rPr>
        <w:lastRenderedPageBreak/>
        <w:t xml:space="preserve"> من أبرز من اعتنى بعلم المناسبة من العلماء: </w:t>
      </w:r>
    </w:p>
    <w:p w:rsidR="00A802A6" w:rsidRPr="00302BF6" w:rsidRDefault="00A802A6" w:rsidP="00302BF6">
      <w:pPr>
        <w:spacing w:line="360" w:lineRule="auto"/>
        <w:rPr>
          <w:rFonts w:ascii="Traditional Arabic" w:hAnsi="Traditional Arabic" w:cs="Traditional Arabic"/>
          <w:b/>
          <w:bCs/>
          <w:sz w:val="36"/>
          <w:szCs w:val="36"/>
          <w:rtl/>
        </w:rPr>
      </w:pPr>
      <w:r w:rsidRPr="00302BF6">
        <w:rPr>
          <w:rFonts w:ascii="Traditional Arabic" w:hAnsi="Traditional Arabic" w:cs="Traditional Arabic"/>
          <w:b/>
          <w:bCs/>
          <w:sz w:val="36"/>
          <w:szCs w:val="36"/>
          <w:rtl/>
        </w:rPr>
        <w:t>أبو بكر النيسابوري رحمه الله</w:t>
      </w:r>
      <w:r w:rsidRPr="00302BF6">
        <w:rPr>
          <w:rFonts w:ascii="Traditional Arabic" w:hAnsi="Traditional Arabic" w:cs="Traditional Arabic" w:hint="cs"/>
          <w:b/>
          <w:bCs/>
          <w:sz w:val="36"/>
          <w:szCs w:val="36"/>
          <w:rtl/>
        </w:rPr>
        <w:t>:</w:t>
      </w:r>
    </w:p>
    <w:p w:rsidR="00A802A6" w:rsidRPr="00302BF6" w:rsidRDefault="00A802A6" w:rsidP="00302BF6">
      <w:pPr>
        <w:spacing w:line="360" w:lineRule="auto"/>
        <w:rPr>
          <w:rFonts w:ascii="Traditional Arabic" w:hAnsi="Traditional Arabic" w:cs="Traditional Arabic"/>
          <w:b/>
          <w:bCs/>
          <w:sz w:val="36"/>
          <w:szCs w:val="36"/>
          <w:rtl/>
        </w:rPr>
      </w:pPr>
      <w:r w:rsidRPr="00302BF6">
        <w:rPr>
          <w:rFonts w:ascii="Traditional Arabic" w:hAnsi="Traditional Arabic" w:cs="Traditional Arabic"/>
          <w:b/>
          <w:bCs/>
          <w:sz w:val="36"/>
          <w:szCs w:val="36"/>
          <w:rtl/>
        </w:rPr>
        <w:t xml:space="preserve">حيث كان كثير العلم في الشريعة والأدب ، وكان يقول على الكرسي في بغداد إذا قرئت عليه الآية:لمَ جعلت الآية جنب هذه؟ وما الحكمة في جعل هذه السورة في جنب هذه السورة؟ </w:t>
      </w:r>
    </w:p>
    <w:p w:rsidR="00302BF6" w:rsidRPr="00302BF6" w:rsidRDefault="00A802A6" w:rsidP="00B9232F">
      <w:pPr>
        <w:spacing w:line="360" w:lineRule="auto"/>
        <w:rPr>
          <w:rFonts w:ascii="Traditional Arabic" w:hAnsi="Traditional Arabic" w:cs="Traditional Arabic"/>
          <w:b/>
          <w:bCs/>
          <w:sz w:val="36"/>
          <w:szCs w:val="36"/>
        </w:rPr>
      </w:pPr>
      <w:r w:rsidRPr="00302BF6">
        <w:rPr>
          <w:rFonts w:ascii="Traditional Arabic" w:hAnsi="Traditional Arabic" w:cs="Traditional Arabic"/>
          <w:b/>
          <w:bCs/>
          <w:sz w:val="36"/>
          <w:szCs w:val="36"/>
          <w:rtl/>
        </w:rPr>
        <w:t>وكان يزري على علماء بغداد لعدم علمهم بالمناسبة. وقد نسب السيوطي رحمه الله إليه أنه أول من سبق إلى هذا العلم. والصحيح أن أن أولية علم المناسبة القرآنية غير واضحة تمام الوضوح إلى الآن ، ولا سيما مع بقاء كثير من مصادر التفسير وعلوم القرآن مخطوطة بعيدة عن أيدي الباحثين. وقد كتب الدكتور الفاضل عبدالحكيم الأنيس في مسألة نشأة علم المناسبات بحثاً ضافياً في مجلة (الأحمدية) التي تصدر عن دار البحوث للدراسات الإسلامية وإحياء التراث في دبي بالإمارات العربية المتحدة في العدد الحادي عشر - جمادى الأولى 1423هـ بعنوان :(أضواء على ظهور علم المناسبة القرآنية) بين فيه أقول العلماء في نشأة هذا العلم ، وخلص إلى عدم وضوح الرؤية في هذه المسألة ، وبين صواب ما ذكره السيوطي وأكثر الباحثين من بعده. فليراجعه من أراد الاستزادة في هذه المسألة.</w:t>
      </w:r>
      <w:bookmarkEnd w:id="0"/>
    </w:p>
    <w:sectPr w:rsidR="00302BF6" w:rsidRPr="00302BF6" w:rsidSect="00302BF6">
      <w:pgSz w:w="11906" w:h="16838"/>
      <w:pgMar w:top="1440" w:right="1080" w:bottom="1440" w:left="108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A6"/>
    <w:rsid w:val="00302BF6"/>
    <w:rsid w:val="00A802A6"/>
    <w:rsid w:val="00B9232F"/>
    <w:rsid w:val="00E610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738A"/>
  <w15:chartTrackingRefBased/>
  <w15:docId w15:val="{327CCFD4-087F-471B-BC6C-EE03E8D0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1674</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dcterms:created xsi:type="dcterms:W3CDTF">2018-11-14T15:02:00Z</dcterms:created>
  <dcterms:modified xsi:type="dcterms:W3CDTF">2019-01-31T22:06:00Z</dcterms:modified>
</cp:coreProperties>
</file>