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65B" w:rsidRPr="00007C4E" w:rsidRDefault="006F365B" w:rsidP="00007C4E">
      <w:pPr>
        <w:spacing w:line="360" w:lineRule="auto"/>
        <w:jc w:val="center"/>
        <w:rPr>
          <w:rFonts w:ascii="Traditional Arabic" w:hAnsi="Traditional Arabic" w:cs="Traditional Arabic"/>
          <w:b/>
          <w:bCs/>
          <w:sz w:val="34"/>
          <w:szCs w:val="34"/>
          <w:rtl/>
        </w:rPr>
      </w:pPr>
      <w:bookmarkStart w:id="0" w:name="_GoBack"/>
      <w:r w:rsidRPr="00007C4E">
        <w:rPr>
          <w:rFonts w:ascii="Traditional Arabic" w:hAnsi="Traditional Arabic" w:cs="Traditional Arabic"/>
          <w:b/>
          <w:bCs/>
          <w:sz w:val="34"/>
          <w:szCs w:val="34"/>
          <w:rtl/>
        </w:rPr>
        <w:t>النداء</w:t>
      </w:r>
    </w:p>
    <w:p w:rsidR="006F365B" w:rsidRPr="00007C4E" w:rsidRDefault="006F365B" w:rsidP="00007C4E">
      <w:pPr>
        <w:spacing w:line="360" w:lineRule="auto"/>
        <w:jc w:val="lowKashida"/>
        <w:rPr>
          <w:rFonts w:ascii="Traditional Arabic" w:hAnsi="Traditional Arabic" w:cs="Traditional Arabic"/>
          <w:b/>
          <w:bCs/>
          <w:sz w:val="34"/>
          <w:szCs w:val="34"/>
          <w:rtl/>
        </w:rPr>
      </w:pPr>
      <w:r w:rsidRPr="00007C4E">
        <w:rPr>
          <w:rFonts w:ascii="Traditional Arabic" w:hAnsi="Traditional Arabic" w:cs="Traditional Arabic"/>
          <w:b/>
          <w:bCs/>
          <w:sz w:val="34"/>
          <w:szCs w:val="34"/>
          <w:rtl/>
        </w:rPr>
        <w:t>تعريف أسلوب النداء</w:t>
      </w:r>
    </w:p>
    <w:p w:rsidR="006F365B" w:rsidRPr="00007C4E" w:rsidRDefault="006F365B" w:rsidP="00007C4E">
      <w:pPr>
        <w:spacing w:line="360" w:lineRule="auto"/>
        <w:jc w:val="lowKashida"/>
        <w:rPr>
          <w:rFonts w:ascii="Traditional Arabic" w:hAnsi="Traditional Arabic" w:cs="Traditional Arabic"/>
          <w:sz w:val="34"/>
          <w:szCs w:val="34"/>
          <w:rtl/>
        </w:rPr>
      </w:pPr>
      <w:r w:rsidRPr="00007C4E">
        <w:rPr>
          <w:rFonts w:ascii="Traditional Arabic" w:hAnsi="Traditional Arabic" w:cs="Traditional Arabic"/>
          <w:sz w:val="34"/>
          <w:szCs w:val="34"/>
          <w:rtl/>
        </w:rPr>
        <w:t xml:space="preserve"> </w:t>
      </w:r>
      <w:proofErr w:type="spellStart"/>
      <w:r w:rsidRPr="00007C4E">
        <w:rPr>
          <w:rFonts w:ascii="Traditional Arabic" w:hAnsi="Traditional Arabic" w:cs="Traditional Arabic"/>
          <w:sz w:val="34"/>
          <w:szCs w:val="34"/>
          <w:rtl/>
        </w:rPr>
        <w:t>النداء</w:t>
      </w:r>
      <w:proofErr w:type="spellEnd"/>
      <w:r w:rsidRPr="00007C4E">
        <w:rPr>
          <w:rFonts w:ascii="Traditional Arabic" w:hAnsi="Traditional Arabic" w:cs="Traditional Arabic"/>
          <w:sz w:val="34"/>
          <w:szCs w:val="34"/>
          <w:rtl/>
        </w:rPr>
        <w:t xml:space="preserve"> هو أسلوب لغوي بلاغيّ في اللغة العربية يهدف منه المتكلم إلى طلب إقبال المنادى أو جذب انتباهه عن طريق مناداته </w:t>
      </w:r>
      <w:proofErr w:type="spellStart"/>
      <w:r w:rsidRPr="00007C4E">
        <w:rPr>
          <w:rFonts w:ascii="Traditional Arabic" w:hAnsi="Traditional Arabic" w:cs="Traditional Arabic"/>
          <w:sz w:val="34"/>
          <w:szCs w:val="34"/>
          <w:rtl/>
        </w:rPr>
        <w:t>بإسمه</w:t>
      </w:r>
      <w:proofErr w:type="spellEnd"/>
      <w:r w:rsidRPr="00007C4E">
        <w:rPr>
          <w:rFonts w:ascii="Traditional Arabic" w:hAnsi="Traditional Arabic" w:cs="Traditional Arabic"/>
          <w:sz w:val="34"/>
          <w:szCs w:val="34"/>
          <w:rtl/>
        </w:rPr>
        <w:t xml:space="preserve"> أو بصفة من صفاته، أو استدعائه لأمر أو طلب ما. </w:t>
      </w:r>
    </w:p>
    <w:p w:rsidR="006F365B" w:rsidRPr="00007C4E" w:rsidRDefault="006F365B" w:rsidP="00007C4E">
      <w:pPr>
        <w:spacing w:line="360" w:lineRule="auto"/>
        <w:jc w:val="lowKashida"/>
        <w:rPr>
          <w:rFonts w:ascii="Traditional Arabic" w:hAnsi="Traditional Arabic" w:cs="Traditional Arabic"/>
          <w:b/>
          <w:bCs/>
          <w:sz w:val="34"/>
          <w:szCs w:val="34"/>
          <w:rtl/>
        </w:rPr>
      </w:pPr>
      <w:r w:rsidRPr="00007C4E">
        <w:rPr>
          <w:rFonts w:ascii="Traditional Arabic" w:hAnsi="Traditional Arabic" w:cs="Traditional Arabic"/>
          <w:b/>
          <w:bCs/>
          <w:sz w:val="34"/>
          <w:szCs w:val="34"/>
          <w:rtl/>
        </w:rPr>
        <w:t xml:space="preserve">عناصر أسلوب النداء </w:t>
      </w:r>
    </w:p>
    <w:p w:rsidR="006F365B" w:rsidRPr="00007C4E" w:rsidRDefault="006F365B" w:rsidP="00007C4E">
      <w:pPr>
        <w:spacing w:line="360" w:lineRule="auto"/>
        <w:jc w:val="lowKashida"/>
        <w:rPr>
          <w:rFonts w:ascii="Traditional Arabic" w:hAnsi="Traditional Arabic" w:cs="Traditional Arabic"/>
          <w:sz w:val="34"/>
          <w:szCs w:val="34"/>
          <w:rtl/>
        </w:rPr>
      </w:pPr>
      <w:r w:rsidRPr="00007C4E">
        <w:rPr>
          <w:rFonts w:ascii="Traditional Arabic" w:hAnsi="Traditional Arabic" w:cs="Traditional Arabic"/>
          <w:sz w:val="34"/>
          <w:szCs w:val="34"/>
          <w:rtl/>
        </w:rPr>
        <w:t xml:space="preserve">يتكوّن أسلوب النداء من: </w:t>
      </w:r>
    </w:p>
    <w:p w:rsidR="006F365B" w:rsidRPr="00007C4E" w:rsidRDefault="006F365B" w:rsidP="00007C4E">
      <w:pPr>
        <w:spacing w:line="360" w:lineRule="auto"/>
        <w:jc w:val="lowKashida"/>
        <w:rPr>
          <w:rFonts w:ascii="Traditional Arabic" w:hAnsi="Traditional Arabic" w:cs="Traditional Arabic"/>
          <w:sz w:val="34"/>
          <w:szCs w:val="34"/>
          <w:rtl/>
        </w:rPr>
      </w:pPr>
      <w:r w:rsidRPr="00007C4E">
        <w:rPr>
          <w:rFonts w:ascii="Traditional Arabic" w:hAnsi="Traditional Arabic" w:cs="Traditional Arabic"/>
          <w:sz w:val="34"/>
          <w:szCs w:val="34"/>
          <w:rtl/>
        </w:rPr>
        <w:t>أداة النداء: والتي تتكوّن من ثلاثة أقسام، وهي: أداة لنداء القريب: وهي: أي، و أ، كأن أقول مثلاُ: أي خالد، أو أ خالد،.</w:t>
      </w:r>
    </w:p>
    <w:p w:rsidR="006F365B" w:rsidRPr="00007C4E" w:rsidRDefault="006F365B" w:rsidP="00007C4E">
      <w:pPr>
        <w:spacing w:line="360" w:lineRule="auto"/>
        <w:jc w:val="lowKashida"/>
        <w:rPr>
          <w:rFonts w:ascii="Traditional Arabic" w:hAnsi="Traditional Arabic" w:cs="Traditional Arabic"/>
          <w:sz w:val="34"/>
          <w:szCs w:val="34"/>
          <w:rtl/>
        </w:rPr>
      </w:pPr>
      <w:r w:rsidRPr="00007C4E">
        <w:rPr>
          <w:rFonts w:ascii="Traditional Arabic" w:hAnsi="Traditional Arabic" w:cs="Traditional Arabic"/>
          <w:sz w:val="34"/>
          <w:szCs w:val="34"/>
          <w:rtl/>
        </w:rPr>
        <w:t xml:space="preserve"> أداة لنداء البعيد: وهي أيا، وهيا، و آ ؛ كأن أقول مثلاً: أيا محمد، أو هيا سعاد، أو آ أحمد. </w:t>
      </w:r>
      <w:proofErr w:type="spellStart"/>
      <w:r w:rsidRPr="00007C4E">
        <w:rPr>
          <w:rFonts w:ascii="Traditional Arabic" w:hAnsi="Traditional Arabic" w:cs="Traditional Arabic"/>
          <w:sz w:val="34"/>
          <w:szCs w:val="34"/>
          <w:rtl/>
        </w:rPr>
        <w:t>داة</w:t>
      </w:r>
      <w:proofErr w:type="spellEnd"/>
      <w:r w:rsidRPr="00007C4E">
        <w:rPr>
          <w:rFonts w:ascii="Traditional Arabic" w:hAnsi="Traditional Arabic" w:cs="Traditional Arabic"/>
          <w:sz w:val="34"/>
          <w:szCs w:val="34"/>
          <w:rtl/>
        </w:rPr>
        <w:t xml:space="preserve"> نداء "للندبة والتحسر"؛ كأن أقول مثلاُ: </w:t>
      </w:r>
      <w:proofErr w:type="spellStart"/>
      <w:r w:rsidRPr="00007C4E">
        <w:rPr>
          <w:rFonts w:ascii="Traditional Arabic" w:hAnsi="Traditional Arabic" w:cs="Traditional Arabic"/>
          <w:sz w:val="34"/>
          <w:szCs w:val="34"/>
          <w:rtl/>
        </w:rPr>
        <w:t>وا</w:t>
      </w:r>
      <w:proofErr w:type="spellEnd"/>
      <w:r w:rsidRPr="00007C4E">
        <w:rPr>
          <w:rFonts w:ascii="Traditional Arabic" w:hAnsi="Traditional Arabic" w:cs="Traditional Arabic"/>
          <w:sz w:val="34"/>
          <w:szCs w:val="34"/>
          <w:rtl/>
        </w:rPr>
        <w:t xml:space="preserve"> </w:t>
      </w:r>
      <w:proofErr w:type="spellStart"/>
      <w:r w:rsidRPr="00007C4E">
        <w:rPr>
          <w:rFonts w:ascii="Traditional Arabic" w:hAnsi="Traditional Arabic" w:cs="Traditional Arabic"/>
          <w:sz w:val="34"/>
          <w:szCs w:val="34"/>
          <w:rtl/>
        </w:rPr>
        <w:t>معتصماه</w:t>
      </w:r>
      <w:proofErr w:type="spellEnd"/>
      <w:r w:rsidRPr="00007C4E">
        <w:rPr>
          <w:rFonts w:ascii="Traditional Arabic" w:hAnsi="Traditional Arabic" w:cs="Traditional Arabic"/>
          <w:sz w:val="34"/>
          <w:szCs w:val="34"/>
          <w:rtl/>
        </w:rPr>
        <w:t xml:space="preserve">، أو </w:t>
      </w:r>
      <w:proofErr w:type="spellStart"/>
      <w:r w:rsidRPr="00007C4E">
        <w:rPr>
          <w:rFonts w:ascii="Traditional Arabic" w:hAnsi="Traditional Arabic" w:cs="Traditional Arabic"/>
          <w:sz w:val="34"/>
          <w:szCs w:val="34"/>
          <w:rtl/>
        </w:rPr>
        <w:t>وا</w:t>
      </w:r>
      <w:proofErr w:type="spellEnd"/>
      <w:r w:rsidRPr="00007C4E">
        <w:rPr>
          <w:rFonts w:ascii="Traditional Arabic" w:hAnsi="Traditional Arabic" w:cs="Traditional Arabic"/>
          <w:sz w:val="34"/>
          <w:szCs w:val="34"/>
          <w:rtl/>
        </w:rPr>
        <w:t xml:space="preserve"> صديقاه. </w:t>
      </w:r>
    </w:p>
    <w:p w:rsidR="006F365B" w:rsidRPr="00007C4E" w:rsidRDefault="006F365B" w:rsidP="00007C4E">
      <w:pPr>
        <w:spacing w:line="360" w:lineRule="auto"/>
        <w:jc w:val="lowKashida"/>
        <w:rPr>
          <w:rFonts w:ascii="Traditional Arabic" w:hAnsi="Traditional Arabic" w:cs="Traditional Arabic"/>
          <w:sz w:val="34"/>
          <w:szCs w:val="34"/>
          <w:rtl/>
        </w:rPr>
      </w:pPr>
      <w:r w:rsidRPr="00007C4E">
        <w:rPr>
          <w:rFonts w:ascii="Traditional Arabic" w:hAnsi="Traditional Arabic" w:cs="Traditional Arabic"/>
          <w:sz w:val="34"/>
          <w:szCs w:val="34"/>
          <w:rtl/>
        </w:rPr>
        <w:t xml:space="preserve">أداة النداء "يا"، وهي الأعم والأشمل من بين أدوات النداء كلًها، ويمكننا استخدامها في كل أساليب النداء، للقريب، والبعيد، والندبة أيضاً. يقول الشاعر: حملت أمرا عظيما فاصطبرت به وقمت فيه بأمر الله يا عمراً كما أنّ هناك بعض الأسماء المناداة التي لا يجب أن تقترن إلا بـ "يا" دائماً، ألا وهي "لفظ الجلالة" كأن أقول: " يا الله " ، أو أن أستخدم أسلوب النداء في </w:t>
      </w:r>
      <w:proofErr w:type="spellStart"/>
      <w:r w:rsidRPr="00007C4E">
        <w:rPr>
          <w:rFonts w:ascii="Traditional Arabic" w:hAnsi="Traditional Arabic" w:cs="Traditional Arabic"/>
          <w:sz w:val="34"/>
          <w:szCs w:val="34"/>
          <w:rtl/>
        </w:rPr>
        <w:t>الإستغاثة</w:t>
      </w:r>
      <w:proofErr w:type="spellEnd"/>
      <w:r w:rsidRPr="00007C4E">
        <w:rPr>
          <w:rFonts w:ascii="Traditional Arabic" w:hAnsi="Traditional Arabic" w:cs="Traditional Arabic"/>
          <w:sz w:val="34"/>
          <w:szCs w:val="34"/>
          <w:rtl/>
        </w:rPr>
        <w:t xml:space="preserve"> كأن أقول يا صديقي أنجدني، أو إذا اقترنت بـ "أي" ، و "</w:t>
      </w:r>
      <w:proofErr w:type="spellStart"/>
      <w:r w:rsidRPr="00007C4E">
        <w:rPr>
          <w:rFonts w:ascii="Traditional Arabic" w:hAnsi="Traditional Arabic" w:cs="Traditional Arabic"/>
          <w:sz w:val="34"/>
          <w:szCs w:val="34"/>
          <w:rtl/>
        </w:rPr>
        <w:t>أيت</w:t>
      </w:r>
      <w:proofErr w:type="spellEnd"/>
      <w:r w:rsidRPr="00007C4E">
        <w:rPr>
          <w:rFonts w:ascii="Traditional Arabic" w:hAnsi="Traditional Arabic" w:cs="Traditional Arabic"/>
          <w:sz w:val="34"/>
          <w:szCs w:val="34"/>
          <w:rtl/>
        </w:rPr>
        <w:t>". وهي الأداة الوحيدة التي يمكننا حذفها في أسلوب النداء وتقديرها.</w:t>
      </w:r>
    </w:p>
    <w:p w:rsidR="006F365B" w:rsidRPr="00007C4E" w:rsidRDefault="006F365B" w:rsidP="00007C4E">
      <w:pPr>
        <w:spacing w:line="360" w:lineRule="auto"/>
        <w:jc w:val="lowKashida"/>
        <w:rPr>
          <w:rFonts w:ascii="Traditional Arabic" w:hAnsi="Traditional Arabic" w:cs="Traditional Arabic"/>
          <w:sz w:val="34"/>
          <w:szCs w:val="34"/>
          <w:rtl/>
        </w:rPr>
      </w:pPr>
      <w:r w:rsidRPr="00007C4E">
        <w:rPr>
          <w:rFonts w:ascii="Traditional Arabic" w:hAnsi="Traditional Arabic" w:cs="Traditional Arabic"/>
          <w:sz w:val="34"/>
          <w:szCs w:val="34"/>
          <w:rtl/>
        </w:rPr>
        <w:lastRenderedPageBreak/>
        <w:t xml:space="preserve"> المنادى:</w:t>
      </w:r>
    </w:p>
    <w:p w:rsidR="006F365B" w:rsidRPr="00007C4E" w:rsidRDefault="006F365B" w:rsidP="00007C4E">
      <w:pPr>
        <w:spacing w:line="360" w:lineRule="auto"/>
        <w:jc w:val="lowKashida"/>
        <w:rPr>
          <w:rFonts w:ascii="Traditional Arabic" w:hAnsi="Traditional Arabic" w:cs="Traditional Arabic"/>
          <w:sz w:val="34"/>
          <w:szCs w:val="34"/>
          <w:rtl/>
        </w:rPr>
      </w:pPr>
      <w:r w:rsidRPr="00007C4E">
        <w:rPr>
          <w:rFonts w:ascii="Traditional Arabic" w:hAnsi="Traditional Arabic" w:cs="Traditional Arabic"/>
          <w:sz w:val="34"/>
          <w:szCs w:val="34"/>
          <w:rtl/>
        </w:rPr>
        <w:t xml:space="preserve"> وهو </w:t>
      </w:r>
      <w:proofErr w:type="spellStart"/>
      <w:r w:rsidRPr="00007C4E">
        <w:rPr>
          <w:rFonts w:ascii="Traditional Arabic" w:hAnsi="Traditional Arabic" w:cs="Traditional Arabic"/>
          <w:sz w:val="34"/>
          <w:szCs w:val="34"/>
          <w:rtl/>
        </w:rPr>
        <w:t>الإسم</w:t>
      </w:r>
      <w:proofErr w:type="spellEnd"/>
      <w:r w:rsidRPr="00007C4E">
        <w:rPr>
          <w:rFonts w:ascii="Traditional Arabic" w:hAnsi="Traditional Arabic" w:cs="Traditional Arabic"/>
          <w:sz w:val="34"/>
          <w:szCs w:val="34"/>
          <w:rtl/>
        </w:rPr>
        <w:t xml:space="preserve"> الذي يتم طلبه ومناداته، وهو اسم ظاهر يطلبه المتكلم بوساطة "أسلوب النداء"، وهو يلي أداة النداء مباشرة دائماً، للمنادى حالات عدّة في اللغة العربية، وهي: منادى مضاف: كأن أقول " يا عبد الرحمن اجتهد" .</w:t>
      </w:r>
    </w:p>
    <w:p w:rsidR="006F365B" w:rsidRPr="00007C4E" w:rsidRDefault="006F365B" w:rsidP="00007C4E">
      <w:pPr>
        <w:spacing w:line="360" w:lineRule="auto"/>
        <w:jc w:val="lowKashida"/>
        <w:rPr>
          <w:rFonts w:ascii="Traditional Arabic" w:hAnsi="Traditional Arabic" w:cs="Traditional Arabic"/>
          <w:sz w:val="34"/>
          <w:szCs w:val="34"/>
          <w:rtl/>
        </w:rPr>
      </w:pPr>
      <w:r w:rsidRPr="00007C4E">
        <w:rPr>
          <w:rFonts w:ascii="Traditional Arabic" w:hAnsi="Traditional Arabic" w:cs="Traditional Arabic"/>
          <w:sz w:val="34"/>
          <w:szCs w:val="34"/>
          <w:rtl/>
        </w:rPr>
        <w:t xml:space="preserve"> منادى شبيه بالمضاف: كأن أقول يا طالعاً جبلاً تمهل. منادى نكرة غير مقصودة: كأن أقول " يا طالباً ادرس". منادى نكرة مقصودة: كأن أقول "يا ممرضة اعتني بالمريض". منادى علم مفرد: كأن أقول " يا سعاد اهتمي بنفسك". حذف أداة النداء يجوز في اللغة العربية أن نحذف أداة النداء، إن أمكننا فهم الأسلوب من سياق الكلام، إمّا لقرب المخاطب، أو للإيجاز في الكلام، أو للسرعة. </w:t>
      </w:r>
    </w:p>
    <w:p w:rsidR="00007C4E" w:rsidRPr="00007C4E" w:rsidRDefault="006F365B" w:rsidP="00007C4E">
      <w:pPr>
        <w:spacing w:line="360" w:lineRule="auto"/>
        <w:jc w:val="lowKashida"/>
        <w:rPr>
          <w:rFonts w:ascii="Traditional Arabic" w:hAnsi="Traditional Arabic" w:cs="Traditional Arabic"/>
          <w:sz w:val="34"/>
          <w:szCs w:val="34"/>
          <w:rtl/>
        </w:rPr>
      </w:pPr>
      <w:r w:rsidRPr="00007C4E">
        <w:rPr>
          <w:rFonts w:ascii="Traditional Arabic" w:hAnsi="Traditional Arabic" w:cs="Traditional Arabic"/>
          <w:sz w:val="34"/>
          <w:szCs w:val="34"/>
          <w:rtl/>
        </w:rPr>
        <w:t>حكم إعراب المنادى في أسلوب النداء</w:t>
      </w:r>
    </w:p>
    <w:p w:rsidR="00007C4E" w:rsidRPr="00007C4E" w:rsidRDefault="006F365B" w:rsidP="00007C4E">
      <w:pPr>
        <w:spacing w:line="360" w:lineRule="auto"/>
        <w:jc w:val="lowKashida"/>
        <w:rPr>
          <w:rFonts w:ascii="Traditional Arabic" w:hAnsi="Traditional Arabic" w:cs="Traditional Arabic"/>
          <w:sz w:val="34"/>
          <w:szCs w:val="34"/>
          <w:rtl/>
        </w:rPr>
      </w:pPr>
      <w:r w:rsidRPr="00007C4E">
        <w:rPr>
          <w:rFonts w:ascii="Traditional Arabic" w:hAnsi="Traditional Arabic" w:cs="Traditional Arabic"/>
          <w:sz w:val="34"/>
          <w:szCs w:val="34"/>
          <w:rtl/>
        </w:rPr>
        <w:t xml:space="preserve"> الحالة الأولى: يكون المنادى معرباً ويعرب "مفعولاً به منصوباً لفعل محذوف تقديره أدعو أو أنادي" في حالة كان المنادى مضافاً، أو شبيهاً بالمضاف، أو نكرة غير مقصودة.</w:t>
      </w:r>
    </w:p>
    <w:p w:rsidR="006F365B" w:rsidRPr="00007C4E" w:rsidRDefault="006F365B" w:rsidP="00007C4E">
      <w:pPr>
        <w:spacing w:line="360" w:lineRule="auto"/>
        <w:jc w:val="lowKashida"/>
        <w:rPr>
          <w:rFonts w:ascii="Traditional Arabic" w:hAnsi="Traditional Arabic" w:cs="Traditional Arabic"/>
          <w:sz w:val="34"/>
          <w:szCs w:val="34"/>
          <w:rtl/>
        </w:rPr>
      </w:pPr>
      <w:r w:rsidRPr="00007C4E">
        <w:rPr>
          <w:rFonts w:ascii="Traditional Arabic" w:hAnsi="Traditional Arabic" w:cs="Traditional Arabic"/>
          <w:sz w:val="34"/>
          <w:szCs w:val="34"/>
          <w:rtl/>
        </w:rPr>
        <w:t xml:space="preserve"> الحالة الثانية: يكون المنادى مبنياً ويعرب "منادى مبني على الضم في محل نصب، إن كان المنادى نكرة مقصودة، أو علماً مفرداً.</w:t>
      </w:r>
    </w:p>
    <w:p w:rsidR="006F365B" w:rsidRPr="00007C4E" w:rsidRDefault="006F365B" w:rsidP="00007C4E">
      <w:pPr>
        <w:spacing w:line="360" w:lineRule="auto"/>
        <w:jc w:val="lowKashida"/>
        <w:rPr>
          <w:rFonts w:ascii="Traditional Arabic" w:hAnsi="Traditional Arabic" w:cs="Traditional Arabic"/>
          <w:sz w:val="34"/>
          <w:szCs w:val="34"/>
          <w:rtl/>
        </w:rPr>
      </w:pPr>
    </w:p>
    <w:bookmarkEnd w:id="0"/>
    <w:p w:rsidR="006F365B" w:rsidRPr="00007C4E" w:rsidRDefault="006F365B" w:rsidP="00007C4E">
      <w:pPr>
        <w:spacing w:line="360" w:lineRule="auto"/>
        <w:jc w:val="lowKashida"/>
        <w:rPr>
          <w:rFonts w:ascii="Traditional Arabic" w:hAnsi="Traditional Arabic" w:cs="Traditional Arabic"/>
          <w:sz w:val="34"/>
          <w:szCs w:val="34"/>
        </w:rPr>
      </w:pPr>
    </w:p>
    <w:sectPr w:rsidR="006F365B" w:rsidRPr="00007C4E" w:rsidSect="00FD110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5B"/>
    <w:rsid w:val="00007C4E"/>
    <w:rsid w:val="006F365B"/>
    <w:rsid w:val="00FD11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B2B4"/>
  <w15:chartTrackingRefBased/>
  <w15:docId w15:val="{CD8987C5-C79F-4B9A-8B9C-31CFAE32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1613</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2018-10-06T15:08:00Z</cp:lastPrinted>
  <dcterms:created xsi:type="dcterms:W3CDTF">2018-10-06T15:07:00Z</dcterms:created>
  <dcterms:modified xsi:type="dcterms:W3CDTF">2018-10-06T15:08:00Z</dcterms:modified>
</cp:coreProperties>
</file>