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F0F" w:rsidRPr="00314F0F" w:rsidRDefault="00314F0F" w:rsidP="00314F0F">
      <w:pPr>
        <w:jc w:val="center"/>
        <w:rPr>
          <w:rFonts w:ascii="Traditional Arabic" w:hAnsi="Traditional Arabic" w:cs="Traditional Arabic"/>
          <w:b/>
          <w:bCs/>
          <w:sz w:val="64"/>
          <w:szCs w:val="64"/>
        </w:rPr>
      </w:pPr>
      <w:bookmarkStart w:id="0" w:name="_GoBack"/>
      <w:r w:rsidRPr="00314F0F">
        <w:rPr>
          <w:rFonts w:ascii="Traditional Arabic" w:hAnsi="Traditional Arabic" w:cs="Traditional Arabic"/>
          <w:b/>
          <w:bCs/>
          <w:sz w:val="64"/>
          <w:szCs w:val="64"/>
          <w:rtl/>
          <w:lang w:bidi="ar"/>
        </w:rPr>
        <w:t>المثلثات</w:t>
      </w:r>
    </w:p>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b/>
          <w:bCs/>
          <w:sz w:val="32"/>
          <w:szCs w:val="32"/>
          <w:rtl/>
          <w:lang w:bidi="ar"/>
        </w:rPr>
        <w:t>المثلث</w:t>
      </w:r>
      <w:r w:rsidRPr="00314F0F">
        <w:rPr>
          <w:rFonts w:ascii="Traditional Arabic" w:hAnsi="Traditional Arabic" w:cs="Traditional Arabic"/>
          <w:sz w:val="32"/>
          <w:szCs w:val="32"/>
          <w:rtl/>
          <w:lang w:bidi="ar"/>
        </w:rPr>
        <w:t> (</w:t>
      </w:r>
      <w:r w:rsidRPr="00A67F27">
        <w:rPr>
          <w:rStyle w:val="Hyperlink"/>
          <w:rFonts w:ascii="Traditional Arabic" w:hAnsi="Traditional Arabic" w:cs="Traditional Arabic"/>
          <w:sz w:val="32"/>
          <w:szCs w:val="32"/>
          <w:rtl/>
          <w:lang w:bidi="ar"/>
        </w:rPr>
        <w:t>بالإنجليزية</w:t>
      </w:r>
      <w:r w:rsidRPr="00314F0F">
        <w:rPr>
          <w:rFonts w:ascii="Traditional Arabic" w:hAnsi="Traditional Arabic" w:cs="Traditional Arabic"/>
          <w:sz w:val="32"/>
          <w:szCs w:val="32"/>
          <w:rtl/>
          <w:lang w:bidi="ar"/>
        </w:rPr>
        <w:t>: </w:t>
      </w:r>
      <w:r w:rsidRPr="00314F0F">
        <w:rPr>
          <w:rFonts w:ascii="Traditional Arabic" w:hAnsi="Traditional Arabic" w:cs="Traditional Arabic"/>
          <w:sz w:val="32"/>
          <w:szCs w:val="32"/>
          <w:lang w:val="en"/>
        </w:rPr>
        <w:t>Triangle</w:t>
      </w:r>
      <w:r w:rsidRPr="00314F0F">
        <w:rPr>
          <w:rFonts w:ascii="Traditional Arabic" w:hAnsi="Traditional Arabic" w:cs="Traditional Arabic"/>
          <w:sz w:val="32"/>
          <w:szCs w:val="32"/>
          <w:rtl/>
          <w:lang w:bidi="ar"/>
        </w:rPr>
        <w:t>) هو أحد الأشكال الأساسية في </w:t>
      </w:r>
      <w:r w:rsidRPr="00A67F27">
        <w:rPr>
          <w:rStyle w:val="Hyperlink"/>
          <w:rFonts w:ascii="Traditional Arabic" w:hAnsi="Traditional Arabic" w:cs="Traditional Arabic"/>
          <w:sz w:val="32"/>
          <w:szCs w:val="32"/>
          <w:rtl/>
          <w:lang w:bidi="ar"/>
        </w:rPr>
        <w:t>الهندسة</w:t>
      </w:r>
      <w:r w:rsidRPr="00314F0F">
        <w:rPr>
          <w:rFonts w:ascii="Traditional Arabic" w:hAnsi="Traditional Arabic" w:cs="Traditional Arabic"/>
          <w:sz w:val="32"/>
          <w:szCs w:val="32"/>
          <w:rtl/>
          <w:lang w:bidi="ar"/>
        </w:rPr>
        <w:t>، وهو شكل ثنائي الأبعاد مكون من ثلاثة </w:t>
      </w:r>
      <w:r w:rsidRPr="00A67F27">
        <w:rPr>
          <w:rStyle w:val="Hyperlink"/>
          <w:rFonts w:ascii="Traditional Arabic" w:hAnsi="Traditional Arabic" w:cs="Traditional Arabic"/>
          <w:sz w:val="32"/>
          <w:szCs w:val="32"/>
          <w:rtl/>
          <w:lang w:bidi="ar"/>
        </w:rPr>
        <w:t>رؤوس</w:t>
      </w:r>
      <w:r w:rsidRPr="00314F0F">
        <w:rPr>
          <w:rFonts w:ascii="Traditional Arabic" w:hAnsi="Traditional Arabic" w:cs="Traditional Arabic"/>
          <w:sz w:val="32"/>
          <w:szCs w:val="32"/>
          <w:rtl/>
          <w:lang w:bidi="ar"/>
        </w:rPr>
        <w:t> تصل بينها ثلاثة </w:t>
      </w:r>
      <w:r w:rsidRPr="00A67F27">
        <w:rPr>
          <w:rStyle w:val="Hyperlink"/>
          <w:rFonts w:ascii="Traditional Arabic" w:hAnsi="Traditional Arabic" w:cs="Traditional Arabic"/>
          <w:sz w:val="32"/>
          <w:szCs w:val="32"/>
          <w:rtl/>
          <w:lang w:bidi="ar"/>
        </w:rPr>
        <w:t>أضلاع</w:t>
      </w:r>
      <w:r w:rsidRPr="00314F0F">
        <w:rPr>
          <w:rFonts w:ascii="Traditional Arabic" w:hAnsi="Traditional Arabic" w:cs="Traditional Arabic"/>
          <w:sz w:val="32"/>
          <w:szCs w:val="32"/>
          <w:rtl/>
          <w:lang w:bidi="ar"/>
        </w:rPr>
        <w:t>، وتلك الأضلاع هي </w:t>
      </w:r>
      <w:r w:rsidRPr="00A67F27">
        <w:rPr>
          <w:rStyle w:val="Hyperlink"/>
          <w:rFonts w:ascii="Traditional Arabic" w:hAnsi="Traditional Arabic" w:cs="Traditional Arabic"/>
          <w:sz w:val="32"/>
          <w:szCs w:val="32"/>
          <w:rtl/>
          <w:lang w:bidi="ar"/>
        </w:rPr>
        <w:t>قطع مستقيمة</w:t>
      </w:r>
      <w:r w:rsidRPr="00314F0F">
        <w:rPr>
          <w:rFonts w:ascii="Traditional Arabic" w:hAnsi="Traditional Arabic" w:cs="Traditional Arabic"/>
          <w:sz w:val="32"/>
          <w:szCs w:val="32"/>
          <w:rtl/>
          <w:lang w:bidi="ar"/>
        </w:rPr>
        <w:t xml:space="preserve">. ومجموع طولي أي ضلعين في مثلث أكبر من طول الضلع الثالث (شرط وجود المثلث). والمثلث الذي رؤوسه هي </w:t>
      </w:r>
      <w:r w:rsidRPr="00314F0F">
        <w:rPr>
          <w:rFonts w:ascii="Traditional Arabic" w:hAnsi="Traditional Arabic" w:cs="Traditional Arabic"/>
          <w:sz w:val="32"/>
          <w:szCs w:val="32"/>
        </w:rPr>
        <w:t>A</w:t>
      </w:r>
      <w:r w:rsidRPr="00314F0F">
        <w:rPr>
          <w:rFonts w:ascii="Traditional Arabic" w:hAnsi="Traditional Arabic" w:cs="Traditional Arabic"/>
          <w:sz w:val="32"/>
          <w:szCs w:val="32"/>
          <w:rtl/>
          <w:lang w:bidi="ar"/>
        </w:rPr>
        <w:t xml:space="preserve"> و </w:t>
      </w:r>
      <w:r w:rsidRPr="00314F0F">
        <w:rPr>
          <w:rFonts w:ascii="Traditional Arabic" w:hAnsi="Traditional Arabic" w:cs="Traditional Arabic"/>
          <w:sz w:val="32"/>
          <w:szCs w:val="32"/>
        </w:rPr>
        <w:t>B</w:t>
      </w:r>
      <w:r w:rsidRPr="00314F0F">
        <w:rPr>
          <w:rFonts w:ascii="Traditional Arabic" w:hAnsi="Traditional Arabic" w:cs="Traditional Arabic"/>
          <w:sz w:val="32"/>
          <w:szCs w:val="32"/>
          <w:rtl/>
          <w:lang w:bidi="ar"/>
        </w:rPr>
        <w:t xml:space="preserve"> و </w:t>
      </w:r>
      <w:r w:rsidRPr="00314F0F">
        <w:rPr>
          <w:rFonts w:ascii="Traditional Arabic" w:hAnsi="Traditional Arabic" w:cs="Traditional Arabic"/>
          <w:sz w:val="32"/>
          <w:szCs w:val="32"/>
        </w:rPr>
        <w:t>C</w:t>
      </w:r>
      <w:r w:rsidRPr="00314F0F">
        <w:rPr>
          <w:rFonts w:ascii="Traditional Arabic" w:hAnsi="Traditional Arabic" w:cs="Traditional Arabic"/>
          <w:sz w:val="32"/>
          <w:szCs w:val="32"/>
          <w:rtl/>
          <w:lang w:bidi="ar"/>
        </w:rPr>
        <w:t xml:space="preserve"> يرمز له بالرمز </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vanish/>
          <w:sz w:val="32"/>
          <w:szCs w:val="32"/>
        </w:rPr>
        <w:t>displaystyle \triangle ABC</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noProof/>
          <w:sz w:val="32"/>
          <w:szCs w:val="32"/>
        </w:rPr>
        <mc:AlternateContent>
          <mc:Choice Requires="wps">
            <w:drawing>
              <wp:inline distT="0" distB="0" distL="0" distR="0">
                <wp:extent cx="304800" cy="304800"/>
                <wp:effectExtent l="0" t="0" r="0" b="0"/>
                <wp:docPr id="31" name="مستطيل 31" descr="{\displaystyle \triangle AB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44A0D" id="مستطيل 31" o:spid="_x0000_s1026" alt="{\displaystyle \triangle AB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AmOO04gIAAOIFAAAOAAAAAAAAAAAAAAAAAC4C&#10;AABkcnMvZTJvRG9jLnhtbFBLAQItABQABgAIAAAAIQBMoOks2AAAAAMBAAAPAAAAAAAAAAAAAAAA&#10;ADwFAABkcnMvZG93bnJldi54bWxQSwUGAAAAAAQABADzAAAAQQYAAAAA&#10;" filled="f" stroked="f">
                <o:lock v:ext="edit" aspectratio="t"/>
                <w10:wrap anchorx="page"/>
                <w10:anchorlock/>
              </v:rect>
            </w:pict>
          </mc:Fallback>
        </mc:AlternateConten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أنواع المثلثات</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noProof/>
          <w:sz w:val="32"/>
          <w:szCs w:val="32"/>
        </w:rPr>
        <w:drawing>
          <wp:inline distT="0" distB="0" distL="0" distR="0">
            <wp:extent cx="3048000" cy="1219200"/>
            <wp:effectExtent l="0" t="0" r="0" b="0"/>
            <wp:docPr id="30" name="صورة 30" descr="https://upload.wikimedia.org/wikipedia/commons/thumb/9/9e/Euler_diagram_of_triangle_types.svg/320px-Euler_diagram_of_triangle_types.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e/Euler_diagram_of_triangle_types.svg/320px-Euler_diagram_of_triangle_types.sv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219200"/>
                    </a:xfrm>
                    <a:prstGeom prst="rect">
                      <a:avLst/>
                    </a:prstGeom>
                    <a:noFill/>
                    <a:ln>
                      <a:noFill/>
                    </a:ln>
                  </pic:spPr>
                </pic:pic>
              </a:graphicData>
            </a:graphic>
          </wp:inline>
        </w:drawing>
      </w:r>
    </w:p>
    <w:p w:rsidR="00314F0F" w:rsidRPr="00314F0F" w:rsidRDefault="00314F0F" w:rsidP="00314F0F">
      <w:pPr>
        <w:rPr>
          <w:rFonts w:ascii="Traditional Arabic" w:hAnsi="Traditional Arabic" w:cs="Traditional Arabic"/>
          <w:sz w:val="32"/>
          <w:szCs w:val="32"/>
          <w:rtl/>
          <w:lang w:bidi="ar"/>
        </w:rPr>
      </w:pPr>
      <w:r w:rsidRPr="00A67F27">
        <w:rPr>
          <w:rStyle w:val="Hyperlink"/>
          <w:rFonts w:ascii="Traditional Arabic" w:hAnsi="Traditional Arabic" w:cs="Traditional Arabic"/>
          <w:sz w:val="32"/>
          <w:szCs w:val="32"/>
          <w:rtl/>
          <w:lang w:bidi="ar"/>
        </w:rPr>
        <w:t>رسم أويلر</w:t>
      </w:r>
      <w:r w:rsidRPr="00314F0F">
        <w:rPr>
          <w:rFonts w:ascii="Traditional Arabic" w:hAnsi="Traditional Arabic" w:cs="Traditional Arabic"/>
          <w:sz w:val="32"/>
          <w:szCs w:val="32"/>
          <w:rtl/>
          <w:lang w:bidi="ar"/>
        </w:rPr>
        <w:t> مبينا أنواع المثلثات, مستعملا المثلثات المتساوية الساقين : لها على الأقل ضلعان متساويان, أي أن المثلثات متساوية الأضلاع هن حالة خاصة من المثلثات متساويات الساقين.</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حسب أطوال الأضلاع</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من الممكن تصنيف المثلثات تبعا لأطوال أضلاعها كما يلي:</w:t>
      </w:r>
    </w:p>
    <w:p w:rsidR="00314F0F" w:rsidRPr="00314F0F" w:rsidRDefault="00314F0F" w:rsidP="00314F0F">
      <w:pPr>
        <w:numPr>
          <w:ilvl w:val="0"/>
          <w:numId w:val="2"/>
        </w:numPr>
        <w:rPr>
          <w:rFonts w:ascii="Traditional Arabic" w:hAnsi="Traditional Arabic" w:cs="Traditional Arabic"/>
          <w:sz w:val="32"/>
          <w:szCs w:val="32"/>
          <w:rtl/>
          <w:lang w:bidi="ar"/>
        </w:rPr>
      </w:pPr>
      <w:r w:rsidRPr="00A67F27">
        <w:rPr>
          <w:rStyle w:val="Hyperlink"/>
          <w:rFonts w:ascii="Traditional Arabic" w:hAnsi="Traditional Arabic" w:cs="Traditional Arabic"/>
          <w:b/>
          <w:bCs/>
          <w:sz w:val="32"/>
          <w:szCs w:val="32"/>
          <w:rtl/>
          <w:lang w:bidi="ar"/>
        </w:rPr>
        <w:t>مثلث متساوي الأضلاع</w:t>
      </w:r>
      <w:r w:rsidRPr="00314F0F">
        <w:rPr>
          <w:rFonts w:ascii="Traditional Arabic" w:hAnsi="Traditional Arabic" w:cs="Traditional Arabic"/>
          <w:sz w:val="32"/>
          <w:szCs w:val="32"/>
          <w:rtl/>
          <w:lang w:bidi="ar"/>
        </w:rPr>
        <w:t>: هو مثلث جميع أضلاعه متساوية، وتكون جميع </w:t>
      </w:r>
      <w:r w:rsidRPr="00A67F27">
        <w:rPr>
          <w:rStyle w:val="Hyperlink"/>
          <w:rFonts w:ascii="Traditional Arabic" w:hAnsi="Traditional Arabic" w:cs="Traditional Arabic"/>
          <w:sz w:val="32"/>
          <w:szCs w:val="32"/>
          <w:rtl/>
          <w:lang w:bidi="ar"/>
        </w:rPr>
        <w:t>زوايا</w:t>
      </w:r>
      <w:r w:rsidRPr="00314F0F">
        <w:rPr>
          <w:rFonts w:ascii="Traditional Arabic" w:hAnsi="Traditional Arabic" w:cs="Traditional Arabic"/>
          <w:sz w:val="32"/>
          <w:szCs w:val="32"/>
          <w:rtl/>
          <w:lang w:bidi="ar"/>
        </w:rPr>
        <w:t> المثلث متساوي الأضلاع متساوية أيضا، وقيمة كل منها 60 درجة.</w:t>
      </w:r>
    </w:p>
    <w:p w:rsidR="00314F0F" w:rsidRPr="00314F0F" w:rsidRDefault="00314F0F" w:rsidP="00314F0F">
      <w:pPr>
        <w:numPr>
          <w:ilvl w:val="0"/>
          <w:numId w:val="2"/>
        </w:numPr>
        <w:rPr>
          <w:rFonts w:ascii="Traditional Arabic" w:hAnsi="Traditional Arabic" w:cs="Traditional Arabic"/>
          <w:sz w:val="32"/>
          <w:szCs w:val="32"/>
          <w:rtl/>
          <w:lang w:bidi="ar"/>
        </w:rPr>
      </w:pPr>
      <w:r w:rsidRPr="00314F0F">
        <w:rPr>
          <w:rFonts w:ascii="Traditional Arabic" w:hAnsi="Traditional Arabic" w:cs="Traditional Arabic"/>
          <w:b/>
          <w:bCs/>
          <w:sz w:val="32"/>
          <w:szCs w:val="32"/>
          <w:rtl/>
          <w:lang w:bidi="ar"/>
        </w:rPr>
        <w:t>مثلث متساوي الضلعين</w:t>
      </w:r>
      <w:r w:rsidRPr="00314F0F">
        <w:rPr>
          <w:rFonts w:ascii="Traditional Arabic" w:hAnsi="Traditional Arabic" w:cs="Traditional Arabic"/>
          <w:sz w:val="32"/>
          <w:szCs w:val="32"/>
          <w:rtl/>
          <w:lang w:bidi="ar"/>
        </w:rPr>
        <w:t>: ويسمى أيضا </w:t>
      </w:r>
      <w:r w:rsidRPr="00314F0F">
        <w:rPr>
          <w:rFonts w:ascii="Traditional Arabic" w:hAnsi="Traditional Arabic" w:cs="Traditional Arabic"/>
          <w:b/>
          <w:bCs/>
          <w:sz w:val="32"/>
          <w:szCs w:val="32"/>
          <w:rtl/>
          <w:lang w:bidi="ar"/>
        </w:rPr>
        <w:t>متساوي الساقين</w:t>
      </w:r>
      <w:r w:rsidRPr="00314F0F">
        <w:rPr>
          <w:rFonts w:ascii="Traditional Arabic" w:hAnsi="Traditional Arabic" w:cs="Traditional Arabic"/>
          <w:sz w:val="32"/>
          <w:szCs w:val="32"/>
          <w:rtl/>
          <w:lang w:bidi="ar"/>
        </w:rPr>
        <w:t>، هو مثلث فيه ضلعان متساويان. الزاويتان المقابلتان لهذين الضلعين تكونان متساويتين أيضا.</w:t>
      </w:r>
    </w:p>
    <w:p w:rsidR="00314F0F" w:rsidRPr="00314F0F" w:rsidRDefault="00314F0F" w:rsidP="00314F0F">
      <w:pPr>
        <w:numPr>
          <w:ilvl w:val="0"/>
          <w:numId w:val="2"/>
        </w:numPr>
        <w:rPr>
          <w:rFonts w:ascii="Traditional Arabic" w:hAnsi="Traditional Arabic" w:cs="Traditional Arabic"/>
          <w:sz w:val="32"/>
          <w:szCs w:val="32"/>
          <w:rtl/>
          <w:lang w:bidi="ar"/>
        </w:rPr>
      </w:pPr>
      <w:r w:rsidRPr="00314F0F">
        <w:rPr>
          <w:rFonts w:ascii="Traditional Arabic" w:hAnsi="Traditional Arabic" w:cs="Traditional Arabic"/>
          <w:b/>
          <w:bCs/>
          <w:sz w:val="32"/>
          <w:szCs w:val="32"/>
          <w:rtl/>
          <w:lang w:bidi="ar"/>
        </w:rPr>
        <w:t>مثلث مختلف الأضلاع</w:t>
      </w:r>
      <w:r w:rsidRPr="00314F0F">
        <w:rPr>
          <w:rFonts w:ascii="Traditional Arabic" w:hAnsi="Traditional Arabic" w:cs="Traditional Arabic"/>
          <w:sz w:val="32"/>
          <w:szCs w:val="32"/>
          <w:rtl/>
          <w:lang w:bidi="ar"/>
        </w:rPr>
        <w:t>: هو مثلث أطوال أضلاعه مختلفة، زوايا هذا المثلث تكون مختلفة القيم أيضا.</w:t>
      </w:r>
    </w:p>
    <w:p w:rsidR="00314F0F" w:rsidRPr="00314F0F" w:rsidRDefault="00314F0F" w:rsidP="00314F0F">
      <w:pPr>
        <w:rPr>
          <w:rFonts w:ascii="Traditional Arabic" w:hAnsi="Traditional Arabic" w:cs="Traditional Arabic"/>
          <w:sz w:val="32"/>
          <w:szCs w:val="32"/>
          <w:rtl/>
          <w:lang w:bidi="ar"/>
        </w:rPr>
      </w:pP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78"/>
        <w:gridCol w:w="2119"/>
        <w:gridCol w:w="2422"/>
      </w:tblGrid>
      <w:tr w:rsidR="00314F0F" w:rsidRPr="00314F0F" w:rsidTr="00314F0F">
        <w:trPr>
          <w:tblCellSpacing w:w="15" w:type="dxa"/>
          <w:jc w:val="center"/>
        </w:trPr>
        <w:tc>
          <w:tcPr>
            <w:tcW w:w="0" w:type="auto"/>
            <w:vAlign w:val="center"/>
            <w:hideMark/>
          </w:tcPr>
          <w:p w:rsidR="00314F0F" w:rsidRPr="00314F0F" w:rsidRDefault="00314F0F" w:rsidP="00314F0F">
            <w:pPr>
              <w:rPr>
                <w:rFonts w:ascii="Traditional Arabic" w:hAnsi="Traditional Arabic" w:cs="Traditional Arabic"/>
                <w:sz w:val="32"/>
                <w:szCs w:val="32"/>
                <w:rtl/>
              </w:rPr>
            </w:pPr>
            <w:r w:rsidRPr="00314F0F">
              <w:rPr>
                <w:rFonts w:ascii="Traditional Arabic" w:hAnsi="Traditional Arabic" w:cs="Traditional Arabic"/>
                <w:noProof/>
                <w:sz w:val="32"/>
                <w:szCs w:val="32"/>
              </w:rPr>
              <w:lastRenderedPageBreak/>
              <w:drawing>
                <wp:inline distT="0" distB="0" distL="0" distR="0">
                  <wp:extent cx="1190625" cy="1323975"/>
                  <wp:effectExtent l="0" t="0" r="9525" b="9525"/>
                  <wp:docPr id="29" name="صورة 29" descr="مثلث متساوي الأضلاع">
                    <a:hlinkClick xmlns:a="http://schemas.openxmlformats.org/drawingml/2006/main" r:id="rId7" tooltip="&quot;مثلث متساوي الأضلا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ثلث متساوي الأضلاع">
                            <a:hlinkClick r:id="rId7" tooltip="&quot;مثلث متساوي الأضلاع&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323975"/>
                          </a:xfrm>
                          <a:prstGeom prst="rect">
                            <a:avLst/>
                          </a:prstGeom>
                          <a:noFill/>
                          <a:ln>
                            <a:noFill/>
                          </a:ln>
                        </pic:spPr>
                      </pic:pic>
                    </a:graphicData>
                  </a:graphic>
                </wp:inline>
              </w:drawing>
            </w:r>
            <w:r w:rsidRPr="00314F0F">
              <w:rPr>
                <w:rFonts w:ascii="Traditional Arabic" w:hAnsi="Traditional Arabic" w:cs="Traditional Arabic"/>
                <w:sz w:val="32"/>
                <w:szCs w:val="32"/>
              </w:rPr>
              <w:t>    </w:t>
            </w:r>
          </w:p>
        </w:tc>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Pr>
              <w:t>    </w:t>
            </w:r>
            <w:r w:rsidRPr="00314F0F">
              <w:rPr>
                <w:rFonts w:ascii="Traditional Arabic" w:hAnsi="Traditional Arabic" w:cs="Traditional Arabic"/>
                <w:noProof/>
                <w:sz w:val="32"/>
                <w:szCs w:val="32"/>
              </w:rPr>
              <w:drawing>
                <wp:inline distT="0" distB="0" distL="0" distR="0">
                  <wp:extent cx="1000125" cy="1323975"/>
                  <wp:effectExtent l="0" t="0" r="9525" b="9525"/>
                  <wp:docPr id="28" name="صورة 28" descr="مثلث متساوي الساقين">
                    <a:hlinkClick xmlns:a="http://schemas.openxmlformats.org/drawingml/2006/main" r:id="rId9" tooltip="&quot;مثلث متساوي الساقي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ثلث متساوي الساقين">
                            <a:hlinkClick r:id="rId9" tooltip="&quot;مثلث متساوي الساقين&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323975"/>
                          </a:xfrm>
                          <a:prstGeom prst="rect">
                            <a:avLst/>
                          </a:prstGeom>
                          <a:noFill/>
                          <a:ln>
                            <a:noFill/>
                          </a:ln>
                        </pic:spPr>
                      </pic:pic>
                    </a:graphicData>
                  </a:graphic>
                </wp:inline>
              </w:drawing>
            </w:r>
            <w:r w:rsidRPr="00314F0F">
              <w:rPr>
                <w:rFonts w:ascii="Traditional Arabic" w:hAnsi="Traditional Arabic" w:cs="Traditional Arabic"/>
                <w:sz w:val="32"/>
                <w:szCs w:val="32"/>
              </w:rPr>
              <w:t>  </w:t>
            </w:r>
          </w:p>
        </w:tc>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Pr>
              <w:t>  </w:t>
            </w:r>
            <w:r w:rsidRPr="00314F0F">
              <w:rPr>
                <w:rFonts w:ascii="Traditional Arabic" w:hAnsi="Traditional Arabic" w:cs="Traditional Arabic"/>
                <w:noProof/>
                <w:sz w:val="32"/>
                <w:szCs w:val="32"/>
              </w:rPr>
              <w:drawing>
                <wp:inline distT="0" distB="0" distL="0" distR="0">
                  <wp:extent cx="1381125" cy="1323975"/>
                  <wp:effectExtent l="0" t="0" r="9525" b="9525"/>
                  <wp:docPr id="27" name="صورة 27" descr="مثلث مختلف الأضلاع">
                    <a:hlinkClick xmlns:a="http://schemas.openxmlformats.org/drawingml/2006/main" r:id="rId11" tooltip="&quot;مثلث مختلف الأضلا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ثلث مختلف الأضلاع">
                            <a:hlinkClick r:id="rId11" tooltip="&quot;مثلث مختلف الأضلاع&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323975"/>
                          </a:xfrm>
                          <a:prstGeom prst="rect">
                            <a:avLst/>
                          </a:prstGeom>
                          <a:noFill/>
                          <a:ln>
                            <a:noFill/>
                          </a:ln>
                        </pic:spPr>
                      </pic:pic>
                    </a:graphicData>
                  </a:graphic>
                </wp:inline>
              </w:drawing>
            </w:r>
          </w:p>
        </w:tc>
      </w:tr>
      <w:tr w:rsidR="00314F0F" w:rsidRPr="00314F0F" w:rsidTr="00314F0F">
        <w:trPr>
          <w:tblCellSpacing w:w="15" w:type="dxa"/>
          <w:jc w:val="center"/>
        </w:trPr>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tl/>
              </w:rPr>
              <w:t>متساوي الأضلاع</w:t>
            </w:r>
            <w:r w:rsidRPr="00314F0F">
              <w:rPr>
                <w:rFonts w:ascii="Traditional Arabic" w:hAnsi="Traditional Arabic" w:cs="Traditional Arabic"/>
                <w:sz w:val="32"/>
                <w:szCs w:val="32"/>
              </w:rPr>
              <w:t xml:space="preserve">    </w:t>
            </w:r>
          </w:p>
        </w:tc>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Pr>
              <w:t xml:space="preserve">    </w:t>
            </w:r>
            <w:r w:rsidRPr="00314F0F">
              <w:rPr>
                <w:rFonts w:ascii="Traditional Arabic" w:hAnsi="Traditional Arabic" w:cs="Traditional Arabic"/>
                <w:sz w:val="32"/>
                <w:szCs w:val="32"/>
                <w:rtl/>
              </w:rPr>
              <w:t>متساوي الساقين</w:t>
            </w:r>
            <w:r w:rsidRPr="00314F0F">
              <w:rPr>
                <w:rFonts w:ascii="Traditional Arabic" w:hAnsi="Traditional Arabic" w:cs="Traditional Arabic"/>
                <w:sz w:val="32"/>
                <w:szCs w:val="32"/>
              </w:rPr>
              <w:t xml:space="preserve">  </w:t>
            </w:r>
          </w:p>
        </w:tc>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Pr>
              <w:t xml:space="preserve">  </w:t>
            </w:r>
            <w:r w:rsidRPr="00314F0F">
              <w:rPr>
                <w:rFonts w:ascii="Traditional Arabic" w:hAnsi="Traditional Arabic" w:cs="Traditional Arabic"/>
                <w:sz w:val="32"/>
                <w:szCs w:val="32"/>
                <w:rtl/>
              </w:rPr>
              <w:t>مختلف الأضلاع</w:t>
            </w:r>
          </w:p>
        </w:tc>
      </w:tr>
    </w:tbl>
    <w:p w:rsidR="00314F0F" w:rsidRPr="00314F0F" w:rsidRDefault="00314F0F" w:rsidP="00314F0F">
      <w:pPr>
        <w:rPr>
          <w:rFonts w:ascii="Traditional Arabic" w:hAnsi="Traditional Arabic" w:cs="Traditional Arabic"/>
          <w:b/>
          <w:bCs/>
          <w:sz w:val="32"/>
          <w:szCs w:val="32"/>
        </w:rPr>
      </w:pPr>
      <w:r w:rsidRPr="00314F0F">
        <w:rPr>
          <w:rFonts w:ascii="Traditional Arabic" w:hAnsi="Traditional Arabic" w:cs="Traditional Arabic"/>
          <w:b/>
          <w:bCs/>
          <w:sz w:val="32"/>
          <w:szCs w:val="32"/>
          <w:rtl/>
          <w:lang w:bidi="ar"/>
        </w:rPr>
        <w:t>حسب زواياه الداخلية</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يمكن أيضا تصنيف المثلثات تبعا لقياس الزوايا الداخلية في المثلث:</w:t>
      </w:r>
    </w:p>
    <w:p w:rsidR="00314F0F" w:rsidRPr="00314F0F" w:rsidRDefault="00314F0F" w:rsidP="00314F0F">
      <w:pPr>
        <w:numPr>
          <w:ilvl w:val="0"/>
          <w:numId w:val="3"/>
        </w:numPr>
        <w:rPr>
          <w:rFonts w:ascii="Traditional Arabic" w:hAnsi="Traditional Arabic" w:cs="Traditional Arabic"/>
          <w:sz w:val="32"/>
          <w:szCs w:val="32"/>
          <w:rtl/>
          <w:lang w:bidi="ar"/>
        </w:rPr>
      </w:pPr>
      <w:r w:rsidRPr="00A67F27">
        <w:rPr>
          <w:rStyle w:val="Hyperlink"/>
          <w:rFonts w:ascii="Traditional Arabic" w:hAnsi="Traditional Arabic" w:cs="Traditional Arabic"/>
          <w:b/>
          <w:bCs/>
          <w:sz w:val="32"/>
          <w:szCs w:val="32"/>
          <w:rtl/>
          <w:lang w:bidi="ar"/>
        </w:rPr>
        <w:t>مثلث قائم الزاوية</w:t>
      </w:r>
      <w:r w:rsidRPr="00314F0F">
        <w:rPr>
          <w:rFonts w:ascii="Traditional Arabic" w:hAnsi="Traditional Arabic" w:cs="Traditional Arabic"/>
          <w:sz w:val="32"/>
          <w:szCs w:val="32"/>
          <w:rtl/>
          <w:lang w:bidi="ar"/>
        </w:rPr>
        <w:t>: له زاوية قياسها 90 درجة (</w:t>
      </w:r>
      <w:r w:rsidRPr="00A67F27">
        <w:rPr>
          <w:rStyle w:val="Hyperlink"/>
          <w:rFonts w:ascii="Traditional Arabic" w:hAnsi="Traditional Arabic" w:cs="Traditional Arabic"/>
          <w:sz w:val="32"/>
          <w:szCs w:val="32"/>
          <w:rtl/>
          <w:lang w:bidi="ar"/>
        </w:rPr>
        <w:t>زاوية قائمة</w:t>
      </w:r>
      <w:r w:rsidRPr="00314F0F">
        <w:rPr>
          <w:rFonts w:ascii="Traditional Arabic" w:hAnsi="Traditional Arabic" w:cs="Traditional Arabic"/>
          <w:sz w:val="32"/>
          <w:szCs w:val="32"/>
          <w:rtl/>
          <w:lang w:bidi="ar"/>
        </w:rPr>
        <w:t>)، يدعى الضلع المقابل للزاوية القائمة </w:t>
      </w:r>
      <w:r w:rsidRPr="00A67F27">
        <w:rPr>
          <w:rStyle w:val="Hyperlink"/>
          <w:rFonts w:ascii="Traditional Arabic" w:hAnsi="Traditional Arabic" w:cs="Traditional Arabic"/>
          <w:sz w:val="32"/>
          <w:szCs w:val="32"/>
          <w:rtl/>
          <w:lang w:bidi="ar"/>
        </w:rPr>
        <w:t>بالوتر</w:t>
      </w:r>
      <w:r w:rsidRPr="00314F0F">
        <w:rPr>
          <w:rFonts w:ascii="Traditional Arabic" w:hAnsi="Traditional Arabic" w:cs="Traditional Arabic"/>
          <w:sz w:val="32"/>
          <w:szCs w:val="32"/>
          <w:rtl/>
          <w:lang w:bidi="ar"/>
        </w:rPr>
        <w:t>، وهو أطول أضلاع هذا المثلث.</w:t>
      </w:r>
    </w:p>
    <w:p w:rsidR="00314F0F" w:rsidRPr="00314F0F" w:rsidRDefault="00314F0F" w:rsidP="00314F0F">
      <w:pPr>
        <w:numPr>
          <w:ilvl w:val="0"/>
          <w:numId w:val="3"/>
        </w:numPr>
        <w:rPr>
          <w:rFonts w:ascii="Traditional Arabic" w:hAnsi="Traditional Arabic" w:cs="Traditional Arabic"/>
          <w:sz w:val="32"/>
          <w:szCs w:val="32"/>
          <w:rtl/>
          <w:lang w:bidi="ar"/>
        </w:rPr>
      </w:pPr>
      <w:r w:rsidRPr="00314F0F">
        <w:rPr>
          <w:rFonts w:ascii="Traditional Arabic" w:hAnsi="Traditional Arabic" w:cs="Traditional Arabic"/>
          <w:b/>
          <w:bCs/>
          <w:sz w:val="32"/>
          <w:szCs w:val="32"/>
          <w:rtl/>
          <w:lang w:bidi="ar"/>
        </w:rPr>
        <w:t>مثلث منفرج الزاوية</w:t>
      </w:r>
      <w:r w:rsidRPr="00314F0F">
        <w:rPr>
          <w:rFonts w:ascii="Traditional Arabic" w:hAnsi="Traditional Arabic" w:cs="Traditional Arabic"/>
          <w:sz w:val="32"/>
          <w:szCs w:val="32"/>
          <w:rtl/>
          <w:lang w:bidi="ar"/>
        </w:rPr>
        <w:t>: له زاوية قياسها أكبر من 90 درجة وأصغر من 180 درجة (زاوية منفرجة).</w:t>
      </w:r>
    </w:p>
    <w:p w:rsidR="00314F0F" w:rsidRPr="00314F0F" w:rsidRDefault="00314F0F" w:rsidP="00314F0F">
      <w:pPr>
        <w:numPr>
          <w:ilvl w:val="0"/>
          <w:numId w:val="3"/>
        </w:numPr>
        <w:rPr>
          <w:rFonts w:ascii="Traditional Arabic" w:hAnsi="Traditional Arabic" w:cs="Traditional Arabic"/>
          <w:sz w:val="32"/>
          <w:szCs w:val="32"/>
          <w:rtl/>
          <w:lang w:bidi="ar"/>
        </w:rPr>
      </w:pPr>
      <w:r w:rsidRPr="00314F0F">
        <w:rPr>
          <w:rFonts w:ascii="Traditional Arabic" w:hAnsi="Traditional Arabic" w:cs="Traditional Arabic"/>
          <w:b/>
          <w:bCs/>
          <w:sz w:val="32"/>
          <w:szCs w:val="32"/>
          <w:rtl/>
          <w:lang w:bidi="ar"/>
        </w:rPr>
        <w:t>مثلث حاد الزوايا</w:t>
      </w:r>
      <w:r w:rsidRPr="00314F0F">
        <w:rPr>
          <w:rFonts w:ascii="Traditional Arabic" w:hAnsi="Traditional Arabic" w:cs="Traditional Arabic"/>
          <w:sz w:val="32"/>
          <w:szCs w:val="32"/>
          <w:rtl/>
          <w:lang w:bidi="ar"/>
        </w:rPr>
        <w:t>: كل زواياه قياسها أصغر من 90 درجة (</w:t>
      </w:r>
      <w:r w:rsidRPr="00A67F27">
        <w:rPr>
          <w:rStyle w:val="Hyperlink"/>
          <w:rFonts w:ascii="Traditional Arabic" w:hAnsi="Traditional Arabic" w:cs="Traditional Arabic"/>
          <w:sz w:val="32"/>
          <w:szCs w:val="32"/>
          <w:rtl/>
          <w:lang w:bidi="ar"/>
        </w:rPr>
        <w:t>زاوية حادة</w:t>
      </w:r>
      <w:r w:rsidRPr="00314F0F">
        <w:rPr>
          <w:rFonts w:ascii="Traditional Arabic" w:hAnsi="Traditional Arabic" w:cs="Traditional Arabic"/>
          <w:sz w:val="32"/>
          <w:szCs w:val="32"/>
          <w:rtl/>
          <w:lang w:bidi="ar"/>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22"/>
        <w:gridCol w:w="2419"/>
        <w:gridCol w:w="2278"/>
      </w:tblGrid>
      <w:tr w:rsidR="00314F0F" w:rsidRPr="00314F0F" w:rsidTr="00314F0F">
        <w:trPr>
          <w:tblCellSpacing w:w="15" w:type="dxa"/>
          <w:jc w:val="center"/>
        </w:trPr>
        <w:tc>
          <w:tcPr>
            <w:tcW w:w="0" w:type="auto"/>
            <w:vAlign w:val="center"/>
            <w:hideMark/>
          </w:tcPr>
          <w:p w:rsidR="00314F0F" w:rsidRPr="00314F0F" w:rsidRDefault="00314F0F" w:rsidP="00314F0F">
            <w:pPr>
              <w:rPr>
                <w:rFonts w:ascii="Traditional Arabic" w:hAnsi="Traditional Arabic" w:cs="Traditional Arabic"/>
                <w:sz w:val="32"/>
                <w:szCs w:val="32"/>
                <w:rtl/>
              </w:rPr>
            </w:pPr>
            <w:r w:rsidRPr="00314F0F">
              <w:rPr>
                <w:rFonts w:ascii="Traditional Arabic" w:hAnsi="Traditional Arabic" w:cs="Traditional Arabic"/>
                <w:noProof/>
                <w:sz w:val="32"/>
                <w:szCs w:val="32"/>
              </w:rPr>
              <w:drawing>
                <wp:inline distT="0" distB="0" distL="0" distR="0">
                  <wp:extent cx="1190625" cy="809625"/>
                  <wp:effectExtent l="0" t="0" r="9525" b="9525"/>
                  <wp:docPr id="26" name="صورة 26" descr="مثلث قائم">
                    <a:hlinkClick xmlns:a="http://schemas.openxmlformats.org/drawingml/2006/main" r:id="rId13" tooltip="&quot;مثلث قائ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مثلث قائم">
                            <a:hlinkClick r:id="rId13" tooltip="&quot;مثلث قائم&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809625"/>
                          </a:xfrm>
                          <a:prstGeom prst="rect">
                            <a:avLst/>
                          </a:prstGeom>
                          <a:noFill/>
                          <a:ln>
                            <a:noFill/>
                          </a:ln>
                        </pic:spPr>
                      </pic:pic>
                    </a:graphicData>
                  </a:graphic>
                </wp:inline>
              </w:drawing>
            </w:r>
            <w:r w:rsidRPr="00314F0F">
              <w:rPr>
                <w:rFonts w:ascii="Traditional Arabic" w:hAnsi="Traditional Arabic" w:cs="Traditional Arabic"/>
                <w:sz w:val="32"/>
                <w:szCs w:val="32"/>
              </w:rPr>
              <w:t>  </w:t>
            </w:r>
          </w:p>
        </w:tc>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Pr>
              <w:t>  </w:t>
            </w:r>
            <w:r w:rsidRPr="00314F0F">
              <w:rPr>
                <w:rFonts w:ascii="Traditional Arabic" w:hAnsi="Traditional Arabic" w:cs="Traditional Arabic"/>
                <w:noProof/>
                <w:sz w:val="32"/>
                <w:szCs w:val="32"/>
              </w:rPr>
              <w:drawing>
                <wp:inline distT="0" distB="0" distL="0" distR="0">
                  <wp:extent cx="1190625" cy="809625"/>
                  <wp:effectExtent l="0" t="0" r="9525" b="9525"/>
                  <wp:docPr id="25" name="صورة 25" descr="مثلث منفرج">
                    <a:hlinkClick xmlns:a="http://schemas.openxmlformats.org/drawingml/2006/main" r:id="rId15" tooltip="&quot;مثلث منفرج&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مثلث منفرج">
                            <a:hlinkClick r:id="rId15" tooltip="&quot;مثلث منفرج&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809625"/>
                          </a:xfrm>
                          <a:prstGeom prst="rect">
                            <a:avLst/>
                          </a:prstGeom>
                          <a:noFill/>
                          <a:ln>
                            <a:noFill/>
                          </a:ln>
                        </pic:spPr>
                      </pic:pic>
                    </a:graphicData>
                  </a:graphic>
                </wp:inline>
              </w:drawing>
            </w:r>
            <w:r w:rsidRPr="00314F0F">
              <w:rPr>
                <w:rFonts w:ascii="Traditional Arabic" w:hAnsi="Traditional Arabic" w:cs="Traditional Arabic"/>
                <w:sz w:val="32"/>
                <w:szCs w:val="32"/>
              </w:rPr>
              <w:t>    </w:t>
            </w:r>
          </w:p>
        </w:tc>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Pr>
              <w:t>    </w:t>
            </w:r>
            <w:r w:rsidRPr="00314F0F">
              <w:rPr>
                <w:rFonts w:ascii="Traditional Arabic" w:hAnsi="Traditional Arabic" w:cs="Traditional Arabic"/>
                <w:noProof/>
                <w:sz w:val="32"/>
                <w:szCs w:val="32"/>
              </w:rPr>
              <w:drawing>
                <wp:inline distT="0" distB="0" distL="0" distR="0">
                  <wp:extent cx="1190625" cy="809625"/>
                  <wp:effectExtent l="0" t="0" r="9525" b="9525"/>
                  <wp:docPr id="24" name="صورة 24" descr="مثلث حاد">
                    <a:hlinkClick xmlns:a="http://schemas.openxmlformats.org/drawingml/2006/main" r:id="rId17" tooltip="&quot;مثلث حا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ثلث حاد">
                            <a:hlinkClick r:id="rId17" tooltip="&quot;مثلث حاد&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809625"/>
                          </a:xfrm>
                          <a:prstGeom prst="rect">
                            <a:avLst/>
                          </a:prstGeom>
                          <a:noFill/>
                          <a:ln>
                            <a:noFill/>
                          </a:ln>
                        </pic:spPr>
                      </pic:pic>
                    </a:graphicData>
                  </a:graphic>
                </wp:inline>
              </w:drawing>
            </w:r>
          </w:p>
        </w:tc>
      </w:tr>
      <w:tr w:rsidR="00314F0F" w:rsidRPr="00314F0F" w:rsidTr="00314F0F">
        <w:trPr>
          <w:tblCellSpacing w:w="15" w:type="dxa"/>
          <w:jc w:val="center"/>
        </w:trPr>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tl/>
              </w:rPr>
              <w:t>قائم</w:t>
            </w:r>
            <w:r w:rsidRPr="00314F0F">
              <w:rPr>
                <w:rFonts w:ascii="Traditional Arabic" w:hAnsi="Traditional Arabic" w:cs="Traditional Arabic"/>
                <w:sz w:val="32"/>
                <w:szCs w:val="32"/>
              </w:rPr>
              <w:t xml:space="preserve">  </w:t>
            </w:r>
          </w:p>
        </w:tc>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Pr>
              <w:t xml:space="preserve">  </w:t>
            </w:r>
            <w:r w:rsidRPr="00314F0F">
              <w:rPr>
                <w:rFonts w:ascii="Traditional Arabic" w:hAnsi="Traditional Arabic" w:cs="Traditional Arabic"/>
                <w:sz w:val="32"/>
                <w:szCs w:val="32"/>
                <w:rtl/>
              </w:rPr>
              <w:t>منفرج</w:t>
            </w:r>
            <w:r w:rsidRPr="00314F0F">
              <w:rPr>
                <w:rFonts w:ascii="Traditional Arabic" w:hAnsi="Traditional Arabic" w:cs="Traditional Arabic"/>
                <w:sz w:val="32"/>
                <w:szCs w:val="32"/>
              </w:rPr>
              <w:t xml:space="preserve">    </w:t>
            </w:r>
          </w:p>
        </w:tc>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Pr>
              <w:t xml:space="preserve">    </w:t>
            </w:r>
            <w:r w:rsidRPr="00314F0F">
              <w:rPr>
                <w:rFonts w:ascii="Traditional Arabic" w:hAnsi="Traditional Arabic" w:cs="Traditional Arabic"/>
                <w:sz w:val="32"/>
                <w:szCs w:val="32"/>
                <w:rtl/>
              </w:rPr>
              <w:t>حاد</w:t>
            </w:r>
          </w:p>
        </w:tc>
      </w:tr>
    </w:tbl>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tl/>
          <w:lang w:bidi="ar"/>
        </w:rPr>
        <w:t>الضلع الأفقي يسمى "</w:t>
      </w:r>
      <w:r w:rsidRPr="00314F0F">
        <w:rPr>
          <w:rFonts w:ascii="Traditional Arabic" w:hAnsi="Traditional Arabic" w:cs="Traditional Arabic"/>
          <w:b/>
          <w:bCs/>
          <w:sz w:val="32"/>
          <w:szCs w:val="32"/>
          <w:rtl/>
          <w:lang w:bidi="ar"/>
        </w:rPr>
        <w:t>قاعدة المثلث</w:t>
      </w:r>
      <w:r w:rsidRPr="00314F0F">
        <w:rPr>
          <w:rFonts w:ascii="Traditional Arabic" w:hAnsi="Traditional Arabic" w:cs="Traditional Arabic"/>
          <w:sz w:val="32"/>
          <w:szCs w:val="32"/>
          <w:rtl/>
          <w:lang w:bidi="ar"/>
        </w:rPr>
        <w:t>".</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مجموع زوايا المثلث</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noProof/>
          <w:sz w:val="32"/>
          <w:szCs w:val="32"/>
        </w:rPr>
        <w:drawing>
          <wp:inline distT="0" distB="0" distL="0" distR="0">
            <wp:extent cx="1905000" cy="971550"/>
            <wp:effectExtent l="0" t="0" r="0" b="0"/>
            <wp:docPr id="23" name="صورة 23" descr="https://upload.wikimedia.org/wikipedia/commons/thumb/5/5c/Triangle_sommeangles.svg/200px-Triangle_sommeangles.svg.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c/Triangle_sommeangles.svg/200px-Triangle_sommeangles.svg.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مجموع الزوايا الداخلية للمثلث 180 درجة (الزوايا التي لها نفس اللون متساوية).</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lastRenderedPageBreak/>
        <w:t>مجموع الزوايا الداخلية للمثلث يساوي 180 درجة.</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ويمكن إثبات ذلك عن طريق الزاوية المستقيمة، كما هو مبين بالشكل المجاور.</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الزاوية الخارجية للمثلث</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noProof/>
          <w:sz w:val="32"/>
          <w:szCs w:val="32"/>
        </w:rPr>
        <w:drawing>
          <wp:inline distT="0" distB="0" distL="0" distR="0">
            <wp:extent cx="1905000" cy="942975"/>
            <wp:effectExtent l="0" t="0" r="0" b="9525"/>
            <wp:docPr id="22" name="صورة 22" descr="https://upload.wikimedia.org/wikipedia/commons/thumb/9/92/Remint3.svg/200px-Remint3.svg.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9/92/Remint3.svg/200px-Remint3.svg.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الزاوية الخارجية للمثلث</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الزاوية الخارجية للمثلث تساوي مجموع الزاويتين الداخلتين غير المجاورة لها.</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في الشكل المجاور يكون قياس الزاوية (</w:t>
      </w:r>
      <w:r w:rsidRPr="00314F0F">
        <w:rPr>
          <w:rFonts w:ascii="Traditional Arabic" w:hAnsi="Traditional Arabic" w:cs="Traditional Arabic"/>
          <w:sz w:val="32"/>
          <w:szCs w:val="32"/>
        </w:rPr>
        <w:t>ACD</w:t>
      </w:r>
      <w:r w:rsidRPr="00314F0F">
        <w:rPr>
          <w:rFonts w:ascii="Traditional Arabic" w:hAnsi="Traditional Arabic" w:cs="Traditional Arabic"/>
          <w:sz w:val="32"/>
          <w:szCs w:val="32"/>
          <w:rtl/>
          <w:lang w:bidi="ar"/>
        </w:rPr>
        <w:t>) يساوي مجموع قياسي الزاويتين (</w:t>
      </w:r>
      <w:r w:rsidRPr="00314F0F">
        <w:rPr>
          <w:rFonts w:ascii="Traditional Arabic" w:hAnsi="Traditional Arabic" w:cs="Traditional Arabic"/>
          <w:sz w:val="32"/>
          <w:szCs w:val="32"/>
        </w:rPr>
        <w:t>ABC</w:t>
      </w:r>
      <w:r w:rsidRPr="00314F0F">
        <w:rPr>
          <w:rFonts w:ascii="Traditional Arabic" w:hAnsi="Traditional Arabic" w:cs="Traditional Arabic"/>
          <w:sz w:val="32"/>
          <w:szCs w:val="32"/>
          <w:rtl/>
          <w:lang w:bidi="ar"/>
        </w:rPr>
        <w:t>) و (</w:t>
      </w:r>
      <w:r w:rsidRPr="00314F0F">
        <w:rPr>
          <w:rFonts w:ascii="Traditional Arabic" w:hAnsi="Traditional Arabic" w:cs="Traditional Arabic"/>
          <w:sz w:val="32"/>
          <w:szCs w:val="32"/>
        </w:rPr>
        <w:t>BAC</w:t>
      </w:r>
      <w:r w:rsidRPr="00314F0F">
        <w:rPr>
          <w:rFonts w:ascii="Traditional Arabic" w:hAnsi="Traditional Arabic" w:cs="Traditional Arabic"/>
          <w:sz w:val="32"/>
          <w:szCs w:val="32"/>
          <w:rtl/>
          <w:lang w:bidi="ar"/>
        </w:rPr>
        <w:t>).</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مجموع الزوايا الخارجية الثلاثة (واحدة لكل رأس) لأي مثلث هو 360 درجة.</w:t>
      </w:r>
    </w:p>
    <w:p w:rsidR="00314F0F" w:rsidRPr="00314F0F" w:rsidRDefault="00A67F27" w:rsidP="00314F0F">
      <w:pPr>
        <w:rPr>
          <w:rFonts w:ascii="Traditional Arabic" w:hAnsi="Traditional Arabic" w:cs="Traditional Arabic"/>
          <w:b/>
          <w:bCs/>
          <w:sz w:val="32"/>
          <w:szCs w:val="32"/>
          <w:rtl/>
          <w:lang w:bidi="ar"/>
        </w:rPr>
      </w:pPr>
      <w:hyperlink r:id="rId23" w:tooltip="تطابق (هندسة)" w:history="1">
        <w:r w:rsidR="00314F0F" w:rsidRPr="00314F0F">
          <w:rPr>
            <w:rStyle w:val="Hyperlink"/>
            <w:rFonts w:ascii="Traditional Arabic" w:hAnsi="Traditional Arabic" w:cs="Traditional Arabic"/>
            <w:b/>
            <w:bCs/>
            <w:sz w:val="32"/>
            <w:szCs w:val="32"/>
            <w:rtl/>
            <w:lang w:bidi="ar"/>
          </w:rPr>
          <w:t>تطابق مثلثين</w:t>
        </w:r>
      </w:hyperlink>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يقال عن مثلثين أنهما متطابقان إذا توافرت أحد الشروط التالي:</w:t>
      </w:r>
    </w:p>
    <w:p w:rsidR="00314F0F" w:rsidRPr="00314F0F" w:rsidRDefault="00314F0F" w:rsidP="00314F0F">
      <w:pPr>
        <w:numPr>
          <w:ilvl w:val="0"/>
          <w:numId w:val="4"/>
        </w:num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إذا تساوت أطوال الأضلاع المتناظرة فيهما(ضلع، ضلع، ضلع).</w:t>
      </w:r>
    </w:p>
    <w:p w:rsidR="00314F0F" w:rsidRPr="00314F0F" w:rsidRDefault="00314F0F" w:rsidP="00314F0F">
      <w:pPr>
        <w:numPr>
          <w:ilvl w:val="0"/>
          <w:numId w:val="4"/>
        </w:num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إذا تساوت زاويتان من المثلث الأول مع زاويتين في المثلث الثاني وتساوى طول الضلع المشترك بين الزاويتين مع نظيره في المثلث الثاني (زاوية، ضلع، زاوية).</w:t>
      </w:r>
    </w:p>
    <w:p w:rsidR="00314F0F" w:rsidRPr="00314F0F" w:rsidRDefault="00314F0F" w:rsidP="00314F0F">
      <w:pPr>
        <w:numPr>
          <w:ilvl w:val="0"/>
          <w:numId w:val="4"/>
        </w:num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إذا تساوى قياس زاوية من مثلث قياس زاوية من مثلث آخر وتساوت أطوال الضلعين اللذين يحتويان هذه الزاوية في مثلث مع أطوال الضلعين المناظرين في المثلث الثاني (ضلع، زاوية، ضلع).</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نتائج التطابق</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-مساحتي المثلثين المتطابقين متساويتين.</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-محيطي المثلثين المتطابقين متساويين.</w:t>
      </w:r>
    </w:p>
    <w:p w:rsidR="00314F0F" w:rsidRPr="00314F0F" w:rsidRDefault="00314F0F" w:rsidP="00314F0F">
      <w:pPr>
        <w:rPr>
          <w:rFonts w:ascii="Traditional Arabic" w:hAnsi="Traditional Arabic" w:cs="Traditional Arabic"/>
          <w:b/>
          <w:bCs/>
          <w:sz w:val="32"/>
          <w:szCs w:val="32"/>
          <w:rtl/>
          <w:lang w:bidi="ar"/>
        </w:rPr>
      </w:pPr>
      <w:r w:rsidRPr="00A67F27">
        <w:rPr>
          <w:rStyle w:val="Hyperlink"/>
          <w:rFonts w:ascii="Traditional Arabic" w:hAnsi="Traditional Arabic" w:cs="Traditional Arabic"/>
          <w:b/>
          <w:bCs/>
          <w:sz w:val="32"/>
          <w:szCs w:val="32"/>
          <w:rtl/>
          <w:lang w:bidi="ar"/>
        </w:rPr>
        <w:lastRenderedPageBreak/>
        <w:t>تشابه مثلثين</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يقال عن مثلثين أنهما متشابهين إذا كانت الزوايا المتقابلة لكل منهما متساوية، أي عندما ينتج أحدهما عن الآخر بتكبيره أو تصغيره. وتكون أطوال أضلاع المثلثين المتشابهين متناسبة، أي أنه إذا كان طول أقصر أضلاع المثلث الأول هو ضعفا طول أقصر أضلاع المثلث الثاني، فإن طول كل من الضلعين الأطول والمتوسط من المثلث الأول هو ضعفا طولي الضلعين الأطول والمتوسط من المثلث الثاني أيضا، وبالتالي فإن النسبة بين طولي الضلعين الأقصر والأطول في المثلث الأول مساوية للنسبة بين طولي الضلعين الأقصر والأطول في المثلث الثاني. ويرمز للتشابه بالرمز (~)</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حالات التشابه</w:t>
      </w:r>
    </w:p>
    <w:p w:rsidR="00314F0F" w:rsidRPr="00314F0F" w:rsidRDefault="00314F0F" w:rsidP="00314F0F">
      <w:pPr>
        <w:numPr>
          <w:ilvl w:val="0"/>
          <w:numId w:val="5"/>
        </w:num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يتشابه مثلثان إذا تناسبت أطوال الأضلاع المتناظرة فيهما(ضلع، ضلع، ضلع).</w:t>
      </w:r>
    </w:p>
    <w:p w:rsidR="00314F0F" w:rsidRPr="00314F0F" w:rsidRDefault="00314F0F" w:rsidP="00314F0F">
      <w:pPr>
        <w:numPr>
          <w:ilvl w:val="0"/>
          <w:numId w:val="5"/>
        </w:num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يتشابه مثلثان إذا تساوت زاويتان من المثلث الأول مع زاويتين في المثلث الثاني (زاويا).</w:t>
      </w:r>
    </w:p>
    <w:p w:rsidR="00314F0F" w:rsidRPr="00314F0F" w:rsidRDefault="00314F0F" w:rsidP="00314F0F">
      <w:pPr>
        <w:numPr>
          <w:ilvl w:val="0"/>
          <w:numId w:val="5"/>
        </w:num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يتشابه مثلثان إذا تساوى قياس زاوية من مثلث قياس زاوية من مثلث آخر وتناسبت أطوال الضلعين اللذين يحتويان هذه الزاوية (ضلع، زاوية، ضلع).</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نتائج التشابه</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-النسبة بين مساحتي مثلثين متشابهين تساوي مربع النسبة بين طولي أي ضلعين متناظرين فيهما.</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-النسبة بين محيطي مثلثين متشابهين تساوي النسبة بين طولي أي ضلعين متناظرين فيهما.</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نظرية فيثاغورس</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واحدة من النظريات الأساسية في المثلثات هي </w:t>
      </w:r>
      <w:r w:rsidRPr="00A67F27">
        <w:rPr>
          <w:rStyle w:val="Hyperlink"/>
          <w:rFonts w:ascii="Traditional Arabic" w:hAnsi="Traditional Arabic" w:cs="Traditional Arabic"/>
          <w:sz w:val="32"/>
          <w:szCs w:val="32"/>
          <w:rtl/>
          <w:lang w:bidi="ar"/>
        </w:rPr>
        <w:t>نظرية فيثاغورس</w:t>
      </w:r>
      <w:r w:rsidRPr="00314F0F">
        <w:rPr>
          <w:rFonts w:ascii="Traditional Arabic" w:hAnsi="Traditional Arabic" w:cs="Traditional Arabic"/>
          <w:sz w:val="32"/>
          <w:szCs w:val="32"/>
          <w:rtl/>
          <w:lang w:bidi="ar"/>
        </w:rPr>
        <w:t> والتي تنص على أنه في المثلث القائم، مربع طول الوتر (</w:t>
      </w:r>
      <w:r w:rsidRPr="00314F0F">
        <w:rPr>
          <w:rFonts w:ascii="Traditional Arabic" w:hAnsi="Traditional Arabic" w:cs="Traditional Arabic"/>
          <w:sz w:val="32"/>
          <w:szCs w:val="32"/>
        </w:rPr>
        <w:t>c</w:t>
      </w:r>
      <w:r w:rsidRPr="00314F0F">
        <w:rPr>
          <w:rFonts w:ascii="Traditional Arabic" w:hAnsi="Traditional Arabic" w:cs="Traditional Arabic"/>
          <w:sz w:val="32"/>
          <w:szCs w:val="32"/>
          <w:rtl/>
          <w:lang w:bidi="ar"/>
        </w:rPr>
        <w:t>) يساوي مجموع مربعي طولي الضلعين القائمين (</w:t>
      </w:r>
      <w:r w:rsidRPr="00314F0F">
        <w:rPr>
          <w:rFonts w:ascii="Traditional Arabic" w:hAnsi="Traditional Arabic" w:cs="Traditional Arabic"/>
          <w:sz w:val="32"/>
          <w:szCs w:val="32"/>
        </w:rPr>
        <w:t>a, b</w:t>
      </w:r>
      <w:r w:rsidRPr="00314F0F">
        <w:rPr>
          <w:rFonts w:ascii="Traditional Arabic" w:hAnsi="Traditional Arabic" w:cs="Traditional Arabic"/>
          <w:sz w:val="32"/>
          <w:szCs w:val="32"/>
          <w:rtl/>
          <w:lang w:bidi="ar"/>
        </w:rPr>
        <w:t>)، أي:</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vanish/>
          <w:sz w:val="32"/>
          <w:szCs w:val="32"/>
          <w:rtl/>
          <w:lang w:bidi="ar"/>
        </w:rPr>
        <w:t>{\</w:t>
      </w:r>
      <w:r w:rsidRPr="00314F0F">
        <w:rPr>
          <w:rFonts w:ascii="Traditional Arabic" w:hAnsi="Traditional Arabic" w:cs="Traditional Arabic"/>
          <w:vanish/>
          <w:sz w:val="32"/>
          <w:szCs w:val="32"/>
        </w:rPr>
        <w:t>displaystyle c^{2}=a^{2}+b^{2</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noProof/>
          <w:sz w:val="32"/>
          <w:szCs w:val="32"/>
        </w:rPr>
        <mc:AlternateContent>
          <mc:Choice Requires="wps">
            <w:drawing>
              <wp:inline distT="0" distB="0" distL="0" distR="0">
                <wp:extent cx="304800" cy="304800"/>
                <wp:effectExtent l="0" t="0" r="0" b="0"/>
                <wp:docPr id="21" name="مستطيل 21" descr="{\displaystyle c^{2}=a^{2}+b^{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4E019" id="مستطيل 21" o:spid="_x0000_s1026" alt="{\displaystyle c^{2}=a^{2}+b^{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7v4OMOkCAADoBQAADgAAAAAAAAAA&#10;AAAAAAAuAgAAZHJzL2Uyb0RvYy54bWxQSwECLQAUAAYACAAAACEATKDpLNgAAAADAQAADwAAAAAA&#10;AAAAAAAAAABDBQAAZHJzL2Rvd25yZXYueG1sUEsFBgAAAAAEAAQA8wAAAEgGAAAAAA==&#10;" filled="f" stroked="f">
                <o:lock v:ext="edit" aspectratio="t"/>
                <w10:wrap anchorx="page"/>
                <w10:anchorlock/>
              </v:rect>
            </w:pict>
          </mc:Fallback>
        </mc:AlternateConten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noProof/>
          <w:sz w:val="32"/>
          <w:szCs w:val="32"/>
        </w:rPr>
        <w:lastRenderedPageBreak/>
        <w:drawing>
          <wp:inline distT="0" distB="0" distL="0" distR="0">
            <wp:extent cx="2095500" cy="1695450"/>
            <wp:effectExtent l="0" t="0" r="0" b="0"/>
            <wp:docPr id="20" name="صورة 20" descr="https://upload.wikimedia.org/wikipedia/commons/thumb/d/d2/Pythagorean.svg/220px-Pythagorean.svg.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d/d2/Pythagorean.svg/220px-Pythagorean.svg.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1695450"/>
                    </a:xfrm>
                    <a:prstGeom prst="rect">
                      <a:avLst/>
                    </a:prstGeom>
                    <a:noFill/>
                    <a:ln>
                      <a:noFill/>
                    </a:ln>
                  </pic:spPr>
                </pic:pic>
              </a:graphicData>
            </a:graphic>
          </wp:inline>
        </w:drawing>
      </w:r>
    </w:p>
    <w:p w:rsidR="00314F0F" w:rsidRPr="00314F0F" w:rsidRDefault="00314F0F" w:rsidP="00314F0F">
      <w:pPr>
        <w:rPr>
          <w:rFonts w:ascii="Traditional Arabic" w:hAnsi="Traditional Arabic" w:cs="Traditional Arabic"/>
          <w:sz w:val="32"/>
          <w:szCs w:val="32"/>
          <w:rtl/>
          <w:lang w:bidi="ar"/>
        </w:rPr>
      </w:pPr>
      <w:r w:rsidRPr="00A67F27">
        <w:rPr>
          <w:rStyle w:val="Hyperlink"/>
          <w:rFonts w:ascii="Traditional Arabic" w:hAnsi="Traditional Arabic" w:cs="Traditional Arabic"/>
          <w:sz w:val="32"/>
          <w:szCs w:val="32"/>
          <w:rtl/>
          <w:lang w:bidi="ar"/>
        </w:rPr>
        <w:t>نظرية فيثاغورس</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مما يعني أن معرفة طولي ضلعين من المثلث القائم، كافٍ لمعرفة طول الضلع الثالث:</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من الممكن تعميم نظرية فيتاغورس لتشمل أي مثلث عبر </w:t>
      </w:r>
      <w:r w:rsidRPr="00A67F27">
        <w:rPr>
          <w:rStyle w:val="Hyperlink"/>
          <w:rFonts w:ascii="Traditional Arabic" w:hAnsi="Traditional Arabic" w:cs="Traditional Arabic"/>
          <w:sz w:val="32"/>
          <w:szCs w:val="32"/>
          <w:rtl/>
          <w:lang w:bidi="ar"/>
        </w:rPr>
        <w:t>قانون جيب التمام</w:t>
      </w:r>
      <w:r w:rsidRPr="00314F0F">
        <w:rPr>
          <w:rFonts w:ascii="Traditional Arabic" w:hAnsi="Traditional Arabic" w:cs="Traditional Arabic"/>
          <w:sz w:val="32"/>
          <w:szCs w:val="32"/>
          <w:rtl/>
          <w:lang w:bidi="ar"/>
        </w:rPr>
        <w:t>:</w:t>
      </w:r>
    </w:p>
    <w:p w:rsidR="00314F0F" w:rsidRPr="00314F0F" w:rsidRDefault="00314F0F" w:rsidP="00314F0F">
      <w:pPr>
        <w:rPr>
          <w:rFonts w:ascii="Traditional Arabic" w:hAnsi="Traditional Arabic" w:cs="Traditional Arabic"/>
          <w:sz w:val="32"/>
          <w:szCs w:val="32"/>
          <w:rtl/>
          <w:lang w:bidi="ar"/>
        </w:rPr>
      </w:pPr>
      <w:r w:rsidRPr="00A67F27">
        <w:rPr>
          <w:rStyle w:val="Hyperlink"/>
          <w:rFonts w:ascii="Traditional Arabic" w:hAnsi="Traditional Arabic" w:cs="Traditional Arabic"/>
          <w:sz w:val="32"/>
          <w:szCs w:val="32"/>
          <w:rtl/>
          <w:lang w:bidi="ar"/>
        </w:rPr>
        <w:t>مربع</w:t>
      </w:r>
      <w:r w:rsidRPr="00314F0F">
        <w:rPr>
          <w:rFonts w:ascii="Traditional Arabic" w:hAnsi="Traditional Arabic" w:cs="Traditional Arabic"/>
          <w:sz w:val="32"/>
          <w:szCs w:val="32"/>
          <w:rtl/>
          <w:lang w:bidi="ar"/>
        </w:rPr>
        <w:t> طول الضلع = مجموع مربعي الضلعين الآخرين مطروح منه ضعف حاصل ضرب طولي الضلعين الآخرين في </w:t>
      </w:r>
      <w:r w:rsidRPr="00A67F27">
        <w:rPr>
          <w:rStyle w:val="Hyperlink"/>
          <w:rFonts w:ascii="Traditional Arabic" w:hAnsi="Traditional Arabic" w:cs="Traditional Arabic"/>
          <w:sz w:val="32"/>
          <w:szCs w:val="32"/>
          <w:rtl/>
          <w:lang w:bidi="ar"/>
        </w:rPr>
        <w:t>جيب تمام</w:t>
      </w:r>
      <w:r w:rsidRPr="00314F0F">
        <w:rPr>
          <w:rFonts w:ascii="Traditional Arabic" w:hAnsi="Traditional Arabic" w:cs="Traditional Arabic"/>
          <w:sz w:val="32"/>
          <w:szCs w:val="32"/>
          <w:rtl/>
          <w:lang w:bidi="ar"/>
        </w:rPr>
        <w:t> "الزاوية المحصورة بينهما"</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vanish/>
          <w:sz w:val="32"/>
          <w:szCs w:val="32"/>
          <w:rtl/>
          <w:lang w:bidi="ar"/>
        </w:rPr>
        <w:t>{\</w:t>
      </w:r>
      <w:r w:rsidRPr="00314F0F">
        <w:rPr>
          <w:rFonts w:ascii="Traditional Arabic" w:hAnsi="Traditional Arabic" w:cs="Traditional Arabic"/>
          <w:vanish/>
          <w:sz w:val="32"/>
          <w:szCs w:val="32"/>
        </w:rPr>
        <w:t>displaystyle c^{2}=a^{2}+b^{2}-2ab\ Cos\theta</w:t>
      </w:r>
      <w:r w:rsidRPr="00314F0F">
        <w:rPr>
          <w:rFonts w:ascii="Traditional Arabic" w:hAnsi="Traditional Arabic" w:cs="Traditional Arabic"/>
          <w:vanish/>
          <w:sz w:val="32"/>
          <w:szCs w:val="32"/>
          <w:rtl/>
          <w:lang w:bidi="ar"/>
        </w:rPr>
        <w:t xml:space="preserve"> \,}</w:t>
      </w:r>
      <w:r w:rsidRPr="00314F0F">
        <w:rPr>
          <w:rFonts w:ascii="Traditional Arabic" w:hAnsi="Traditional Arabic" w:cs="Traditional Arabic"/>
          <w:noProof/>
          <w:sz w:val="32"/>
          <w:szCs w:val="32"/>
        </w:rPr>
        <mc:AlternateContent>
          <mc:Choice Requires="wps">
            <w:drawing>
              <wp:inline distT="0" distB="0" distL="0" distR="0">
                <wp:extent cx="304800" cy="304800"/>
                <wp:effectExtent l="0" t="0" r="0" b="0"/>
                <wp:docPr id="19" name="مستطيل 19" descr="{\displaystyle c^{2}=a^{2}+b^{2}-2ab\ Cos\thet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42788" id="مستطيل 19" o:spid="_x0000_s1026" alt="{\displaystyle c^{2}=a^{2}+b^{2}-2ab\ Cos\theta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aeSAy9AIAAPgF&#10;AAAOAAAAAAAAAAAAAAAAAC4CAABkcnMvZTJvRG9jLnhtbFBLAQItABQABgAIAAAAIQBMoOks2AAA&#10;AAMBAAAPAAAAAAAAAAAAAAAAAE4FAABkcnMvZG93bnJldi54bWxQSwUGAAAAAAQABADzAAAAUwYA&#10;AAAA&#10;" filled="f" stroked="f">
                <o:lock v:ext="edit" aspectratio="t"/>
                <w10:wrap anchorx="page"/>
                <w10:anchorlock/>
              </v:rect>
            </w:pict>
          </mc:Fallback>
        </mc:AlternateContent>
      </w:r>
    </w:p>
    <w:p w:rsid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و هو صحيح لكل المثلثات حتى لو لم تكن الزاوية ( </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vanish/>
          <w:sz w:val="32"/>
          <w:szCs w:val="32"/>
        </w:rPr>
        <w:t>displaystyle \theta</w:t>
      </w:r>
      <w:r w:rsidRPr="00314F0F">
        <w:rPr>
          <w:rFonts w:ascii="Traditional Arabic" w:hAnsi="Traditional Arabic" w:cs="Traditional Arabic"/>
          <w:vanish/>
          <w:sz w:val="32"/>
          <w:szCs w:val="32"/>
          <w:rtl/>
          <w:lang w:bidi="ar"/>
        </w:rPr>
        <w:t xml:space="preserve"> \,}</w:t>
      </w:r>
      <w:r w:rsidRPr="00314F0F">
        <w:rPr>
          <w:rFonts w:ascii="Traditional Arabic" w:hAnsi="Traditional Arabic" w:cs="Traditional Arabic"/>
          <w:noProof/>
          <w:sz w:val="32"/>
          <w:szCs w:val="32"/>
        </w:rPr>
        <mc:AlternateContent>
          <mc:Choice Requires="wps">
            <w:drawing>
              <wp:inline distT="0" distB="0" distL="0" distR="0">
                <wp:extent cx="304800" cy="304800"/>
                <wp:effectExtent l="0" t="0" r="0" b="0"/>
                <wp:docPr id="18" name="مستطيل 18" descr="{\displaystyle \thet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595EC" id="مستطيل 18" o:spid="_x0000_s1026" alt="{\displaystyle \theta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Zi7OPhAgAA3gUAAA4AAAAAAAAAAAAAAAAALgIA&#10;AGRycy9lMm9Eb2MueG1sUEsBAi0AFAAGAAgAAAAhAEyg6SzYAAAAAwEAAA8AAAAAAAAAAAAAAAAA&#10;OwUAAGRycy9kb3ducmV2LnhtbFBLBQYAAAAABAAEAPMAAABABgAAAAA=&#10;" filled="f" stroked="f">
                <o:lock v:ext="edit" aspectratio="t"/>
                <w10:wrap anchorx="page"/>
                <w10:anchorlock/>
              </v:rect>
            </w:pict>
          </mc:Fallback>
        </mc:AlternateContent>
      </w:r>
      <w:r w:rsidRPr="00314F0F">
        <w:rPr>
          <w:rFonts w:ascii="Traditional Arabic" w:hAnsi="Traditional Arabic" w:cs="Traditional Arabic"/>
          <w:sz w:val="32"/>
          <w:szCs w:val="32"/>
          <w:rtl/>
          <w:lang w:bidi="ar"/>
        </w:rPr>
        <w:t>) قائمة.</w:t>
      </w:r>
    </w:p>
    <w:p w:rsidR="006B0965" w:rsidRPr="00314F0F" w:rsidRDefault="006B0965" w:rsidP="00314F0F">
      <w:pPr>
        <w:rPr>
          <w:rFonts w:ascii="Traditional Arabic" w:hAnsi="Traditional Arabic" w:cs="Traditional Arabic"/>
          <w:sz w:val="32"/>
          <w:szCs w:val="32"/>
          <w:rtl/>
          <w:lang w:bidi="ar"/>
        </w:rPr>
      </w:pPr>
    </w:p>
    <w:p w:rsidR="00314F0F" w:rsidRPr="006B0965" w:rsidRDefault="00314F0F" w:rsidP="00314F0F">
      <w:pPr>
        <w:rPr>
          <w:rFonts w:ascii="Traditional Arabic" w:hAnsi="Traditional Arabic" w:cs="Traditional Arabic"/>
          <w:b/>
          <w:bCs/>
          <w:sz w:val="32"/>
          <w:szCs w:val="32"/>
          <w:rtl/>
          <w:lang w:bidi="ar"/>
        </w:rPr>
      </w:pPr>
      <w:r w:rsidRPr="006B0965">
        <w:rPr>
          <w:rFonts w:ascii="Traditional Arabic" w:hAnsi="Traditional Arabic" w:cs="Traditional Arabic"/>
          <w:b/>
          <w:bCs/>
          <w:sz w:val="32"/>
          <w:szCs w:val="32"/>
          <w:rtl/>
          <w:lang w:bidi="ar"/>
        </w:rPr>
        <w:t>حساب مساحة المثلث</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باستعمال علم المثلثات</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أبسط طريقة لحساب مساحة المثلث وأكثرها شهرة هي :</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المساحة = ½ القاعدة × الارتفاع</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حيث </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vanish/>
          <w:sz w:val="32"/>
          <w:szCs w:val="32"/>
        </w:rPr>
        <w:t>displaystyle b</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noProof/>
          <w:sz w:val="32"/>
          <w:szCs w:val="32"/>
        </w:rPr>
        <mc:AlternateContent>
          <mc:Choice Requires="wps">
            <w:drawing>
              <wp:inline distT="0" distB="0" distL="0" distR="0">
                <wp:extent cx="304800" cy="304800"/>
                <wp:effectExtent l="0" t="0" r="0" b="0"/>
                <wp:docPr id="16" name="مستطيل 16" desc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18ECB" id="مستطيل 16" o:spid="_x0000_s1026" alt="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WlVx08sCAADGBQAADgAAAAAAAAAAAAAAAAAuAgAAZHJzL2Uyb0RvYy54bWxQSwECLQAU&#10;AAYACAAAACEATKDpLNgAAAADAQAADwAAAAAAAAAAAAAAAAAlBQAAZHJzL2Rvd25yZXYueG1sUEsF&#10;BgAAAAAEAAQA8wAAACoGAAAAAA==&#10;" filled="f" stroked="f">
                <o:lock v:ext="edit" aspectratio="t"/>
                <w10:wrap anchorx="page"/>
                <w10:anchorlock/>
              </v:rect>
            </w:pict>
          </mc:Fallback>
        </mc:AlternateContent>
      </w:r>
      <w:r w:rsidRPr="00314F0F">
        <w:rPr>
          <w:rFonts w:ascii="Traditional Arabic" w:hAnsi="Traditional Arabic" w:cs="Traditional Arabic"/>
          <w:sz w:val="32"/>
          <w:szCs w:val="32"/>
          <w:rtl/>
          <w:lang w:bidi="ar"/>
        </w:rPr>
        <w:t> هي طول قاعدة المثلث و </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vanish/>
          <w:sz w:val="32"/>
          <w:szCs w:val="32"/>
        </w:rPr>
        <w:t>displaystyle h</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noProof/>
          <w:sz w:val="32"/>
          <w:szCs w:val="32"/>
        </w:rPr>
        <mc:AlternateContent>
          <mc:Choice Requires="wps">
            <w:drawing>
              <wp:inline distT="0" distB="0" distL="0" distR="0">
                <wp:extent cx="304800" cy="304800"/>
                <wp:effectExtent l="0" t="0" r="0" b="0"/>
                <wp:docPr id="15" name="مستطيل 15" descr="{\displaystyle 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653FB" id="مستطيل 15" o:spid="_x0000_s1026" alt="{\displaystyle 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G1alENoCAADWBQAADgAAAAAAAAAAAAAAAAAuAgAAZHJzL2Uy&#10;b0RvYy54bWxQSwECLQAUAAYACAAAACEATKDpLNgAAAADAQAADwAAAAAAAAAAAAAAAAA0BQAAZHJz&#10;L2Rvd25yZXYueG1sUEsFBgAAAAAEAAQA8wAAADkGAAAAAA==&#10;" filled="f" stroked="f">
                <o:lock v:ext="edit" aspectratio="t"/>
                <w10:wrap anchorx="page"/>
                <w10:anchorlock/>
              </v:rect>
            </w:pict>
          </mc:Fallback>
        </mc:AlternateContent>
      </w:r>
      <w:r w:rsidRPr="00314F0F">
        <w:rPr>
          <w:rFonts w:ascii="Traditional Arabic" w:hAnsi="Traditional Arabic" w:cs="Traditional Arabic"/>
          <w:sz w:val="32"/>
          <w:szCs w:val="32"/>
          <w:rtl/>
          <w:lang w:bidi="ar"/>
        </w:rPr>
        <w:t> هو ارتفاع المثلث. قاعدة المثلث تمثل أي ضلع من أضلاع المثلث والارتفاع هو طول العمود النازل على هذه القاعدة من الرأس المقابل لها.</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من الممكن البرهان على ذلك من خلال الشكل التالي:</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590"/>
      </w:tblGrid>
      <w:tr w:rsidR="00314F0F" w:rsidRPr="00314F0F" w:rsidTr="00314F0F">
        <w:trPr>
          <w:tblCellSpacing w:w="15" w:type="dxa"/>
          <w:jc w:val="center"/>
        </w:trPr>
        <w:tc>
          <w:tcPr>
            <w:tcW w:w="0" w:type="auto"/>
            <w:vAlign w:val="center"/>
            <w:hideMark/>
          </w:tcPr>
          <w:p w:rsidR="00314F0F" w:rsidRPr="00314F0F" w:rsidRDefault="00314F0F" w:rsidP="00314F0F">
            <w:pPr>
              <w:rPr>
                <w:rFonts w:ascii="Traditional Arabic" w:hAnsi="Traditional Arabic" w:cs="Traditional Arabic"/>
                <w:sz w:val="32"/>
                <w:szCs w:val="32"/>
                <w:rtl/>
              </w:rPr>
            </w:pPr>
            <w:r w:rsidRPr="00314F0F">
              <w:rPr>
                <w:rFonts w:ascii="Traditional Arabic" w:hAnsi="Traditional Arabic" w:cs="Traditional Arabic"/>
                <w:noProof/>
                <w:sz w:val="32"/>
                <w:szCs w:val="32"/>
              </w:rPr>
              <w:lastRenderedPageBreak/>
              <w:drawing>
                <wp:inline distT="0" distB="0" distL="0" distR="0">
                  <wp:extent cx="4752975" cy="990600"/>
                  <wp:effectExtent l="0" t="0" r="9525" b="0"/>
                  <wp:docPr id="14" name="صورة 14" descr="حساب مساحة المثلث هندسيا">
                    <a:hlinkClick xmlns:a="http://schemas.openxmlformats.org/drawingml/2006/main" r:id="rId26" tooltip="&quot;حساب مساحة المثلث هندس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حساب مساحة المثلث هندسيا">
                            <a:hlinkClick r:id="rId26" tooltip="&quot;حساب مساحة المثلث هندسيا&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975" cy="990600"/>
                          </a:xfrm>
                          <a:prstGeom prst="rect">
                            <a:avLst/>
                          </a:prstGeom>
                          <a:noFill/>
                          <a:ln>
                            <a:noFill/>
                          </a:ln>
                        </pic:spPr>
                      </pic:pic>
                    </a:graphicData>
                  </a:graphic>
                </wp:inline>
              </w:drawing>
            </w:r>
          </w:p>
        </w:tc>
      </w:tr>
      <w:tr w:rsidR="00314F0F" w:rsidRPr="00314F0F" w:rsidTr="00314F0F">
        <w:trPr>
          <w:tblCellSpacing w:w="15" w:type="dxa"/>
          <w:jc w:val="center"/>
        </w:trPr>
        <w:tc>
          <w:tcPr>
            <w:tcW w:w="0" w:type="auto"/>
            <w:vAlign w:val="center"/>
            <w:hideMark/>
          </w:tcPr>
          <w:p w:rsidR="00314F0F" w:rsidRPr="00314F0F" w:rsidRDefault="00314F0F" w:rsidP="00314F0F">
            <w:pPr>
              <w:rPr>
                <w:rFonts w:ascii="Traditional Arabic" w:hAnsi="Traditional Arabic" w:cs="Traditional Arabic"/>
                <w:sz w:val="32"/>
                <w:szCs w:val="32"/>
              </w:rPr>
            </w:pPr>
            <w:r w:rsidRPr="00314F0F">
              <w:rPr>
                <w:rFonts w:ascii="Traditional Arabic" w:hAnsi="Traditional Arabic" w:cs="Traditional Arabic"/>
                <w:sz w:val="32"/>
                <w:szCs w:val="32"/>
                <w:rtl/>
              </w:rPr>
              <w:t>يحول المثلث أولاً</w:t>
            </w:r>
            <w:r w:rsidRPr="00314F0F">
              <w:rPr>
                <w:rFonts w:ascii="Traditional Arabic" w:hAnsi="Traditional Arabic" w:cs="Traditional Arabic"/>
                <w:sz w:val="32"/>
                <w:szCs w:val="32"/>
              </w:rPr>
              <w:t> </w:t>
            </w:r>
            <w:r w:rsidRPr="00A67F27">
              <w:rPr>
                <w:rStyle w:val="Hyperlink"/>
                <w:rFonts w:ascii="Traditional Arabic" w:hAnsi="Traditional Arabic" w:cs="Traditional Arabic"/>
                <w:sz w:val="32"/>
                <w:szCs w:val="32"/>
                <w:rtl/>
              </w:rPr>
              <w:t>لمتوازي أضلاع</w:t>
            </w:r>
            <w:r w:rsidRPr="00314F0F">
              <w:rPr>
                <w:rFonts w:ascii="Traditional Arabic" w:hAnsi="Traditional Arabic" w:cs="Traditional Arabic"/>
                <w:sz w:val="32"/>
                <w:szCs w:val="32"/>
              </w:rPr>
              <w:br/>
            </w:r>
            <w:r w:rsidRPr="00314F0F">
              <w:rPr>
                <w:rFonts w:ascii="Traditional Arabic" w:hAnsi="Traditional Arabic" w:cs="Traditional Arabic"/>
                <w:sz w:val="32"/>
                <w:szCs w:val="32"/>
                <w:rtl/>
              </w:rPr>
              <w:t>مساحته ضعف مساحة المثلث، ثم إلى</w:t>
            </w:r>
            <w:r w:rsidRPr="00314F0F">
              <w:rPr>
                <w:rFonts w:ascii="Traditional Arabic" w:hAnsi="Traditional Arabic" w:cs="Traditional Arabic"/>
                <w:sz w:val="32"/>
                <w:szCs w:val="32"/>
              </w:rPr>
              <w:t> </w:t>
            </w:r>
            <w:r w:rsidRPr="00A67F27">
              <w:rPr>
                <w:rStyle w:val="Hyperlink"/>
                <w:rFonts w:ascii="Traditional Arabic" w:hAnsi="Traditional Arabic" w:cs="Traditional Arabic"/>
                <w:sz w:val="32"/>
                <w:szCs w:val="32"/>
                <w:rtl/>
              </w:rPr>
              <w:t>مستطيل</w:t>
            </w:r>
            <w:r w:rsidRPr="00314F0F">
              <w:rPr>
                <w:rFonts w:ascii="Traditional Arabic" w:hAnsi="Traditional Arabic" w:cs="Traditional Arabic"/>
                <w:sz w:val="32"/>
                <w:szCs w:val="32"/>
              </w:rPr>
              <w:t>.</w:t>
            </w:r>
          </w:p>
        </w:tc>
      </w:tr>
    </w:tbl>
    <w:p w:rsidR="00314F0F" w:rsidRPr="00314F0F" w:rsidRDefault="00314F0F" w:rsidP="00314F0F">
      <w:pPr>
        <w:rPr>
          <w:rFonts w:ascii="Traditional Arabic" w:hAnsi="Traditional Arabic" w:cs="Traditional Arabic"/>
          <w:b/>
          <w:bCs/>
          <w:sz w:val="32"/>
          <w:szCs w:val="32"/>
        </w:rPr>
      </w:pPr>
      <w:r w:rsidRPr="00314F0F">
        <w:rPr>
          <w:rFonts w:ascii="Traditional Arabic" w:hAnsi="Traditional Arabic" w:cs="Traditional Arabic"/>
          <w:b/>
          <w:bCs/>
          <w:sz w:val="32"/>
          <w:szCs w:val="32"/>
          <w:rtl/>
          <w:lang w:bidi="ar"/>
        </w:rPr>
        <w:t>باستعمال صيغة هيرو</w:t>
      </w:r>
    </w:p>
    <w:p w:rsidR="00314F0F" w:rsidRPr="00314F0F" w:rsidRDefault="00314F0F" w:rsidP="00314F0F">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يمكن حساب المساحة باستخدام صيغة هيرو (أو هيرون)</w:t>
      </w:r>
    </w:p>
    <w:p w:rsidR="00314F0F" w:rsidRPr="00314F0F" w:rsidRDefault="00314F0F" w:rsidP="00314F0F">
      <w:pPr>
        <w:rPr>
          <w:rFonts w:ascii="Traditional Arabic" w:hAnsi="Traditional Arabic" w:cs="Traditional Arabic"/>
          <w:sz w:val="32"/>
          <w:szCs w:val="32"/>
          <w:rtl/>
          <w:lang w:bidi="ar"/>
        </w:rPr>
      </w:pPr>
    </w:p>
    <w:p w:rsidR="00314F0F" w:rsidRPr="00314F0F" w:rsidRDefault="00314F0F" w:rsidP="006B0965">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حيث </w:t>
      </w:r>
      <w:r w:rsidRPr="00314F0F">
        <w:rPr>
          <w:rFonts w:ascii="Traditional Arabic" w:hAnsi="Traditional Arabic" w:cs="Traditional Arabic"/>
          <w:i/>
          <w:iCs/>
          <w:sz w:val="32"/>
          <w:szCs w:val="32"/>
        </w:rPr>
        <w:t>s</w:t>
      </w:r>
      <w:r w:rsidRPr="00314F0F">
        <w:rPr>
          <w:rFonts w:ascii="Traditional Arabic" w:hAnsi="Traditional Arabic" w:cs="Traditional Arabic"/>
          <w:sz w:val="32"/>
          <w:szCs w:val="32"/>
          <w:rtl/>
          <w:lang w:bidi="ar"/>
        </w:rPr>
        <w:t> هو نصف طول محيط المثلث:و </w:t>
      </w:r>
      <w:r w:rsidRPr="00314F0F">
        <w:rPr>
          <w:rFonts w:ascii="Traditional Arabic" w:hAnsi="Traditional Arabic" w:cs="Traditional Arabic"/>
          <w:i/>
          <w:iCs/>
          <w:sz w:val="32"/>
          <w:szCs w:val="32"/>
        </w:rPr>
        <w:t>a</w:t>
      </w:r>
      <w:r w:rsidRPr="00314F0F">
        <w:rPr>
          <w:rFonts w:ascii="Traditional Arabic" w:hAnsi="Traditional Arabic" w:cs="Traditional Arabic"/>
          <w:sz w:val="32"/>
          <w:szCs w:val="32"/>
          <w:rtl/>
          <w:lang w:bidi="ar"/>
        </w:rPr>
        <w:t> و </w:t>
      </w:r>
      <w:r w:rsidRPr="00314F0F">
        <w:rPr>
          <w:rFonts w:ascii="Traditional Arabic" w:hAnsi="Traditional Arabic" w:cs="Traditional Arabic"/>
          <w:i/>
          <w:iCs/>
          <w:sz w:val="32"/>
          <w:szCs w:val="32"/>
        </w:rPr>
        <w:t>b</w:t>
      </w:r>
      <w:r w:rsidRPr="00314F0F">
        <w:rPr>
          <w:rFonts w:ascii="Traditional Arabic" w:hAnsi="Traditional Arabic" w:cs="Traditional Arabic"/>
          <w:sz w:val="32"/>
          <w:szCs w:val="32"/>
          <w:rtl/>
          <w:lang w:bidi="ar"/>
        </w:rPr>
        <w:t> و </w:t>
      </w:r>
      <w:r w:rsidRPr="00314F0F">
        <w:rPr>
          <w:rFonts w:ascii="Traditional Arabic" w:hAnsi="Traditional Arabic" w:cs="Traditional Arabic"/>
          <w:i/>
          <w:iCs/>
          <w:sz w:val="32"/>
          <w:szCs w:val="32"/>
        </w:rPr>
        <w:t>c</w:t>
      </w:r>
      <w:r w:rsidRPr="00314F0F">
        <w:rPr>
          <w:rFonts w:ascii="Traditional Arabic" w:hAnsi="Traditional Arabic" w:cs="Traditional Arabic"/>
          <w:sz w:val="32"/>
          <w:szCs w:val="32"/>
          <w:rtl/>
          <w:lang w:bidi="ar"/>
        </w:rPr>
        <w:t> أطوال أضلاع المثلث </w:t>
      </w:r>
      <w:r w:rsidRPr="00314F0F">
        <w:rPr>
          <w:rFonts w:ascii="Traditional Arabic" w:hAnsi="Traditional Arabic" w:cs="Traditional Arabic"/>
          <w:i/>
          <w:iCs/>
          <w:sz w:val="32"/>
          <w:szCs w:val="32"/>
        </w:rPr>
        <w:t>ABC</w:t>
      </w:r>
      <w:r w:rsidRPr="00314F0F">
        <w:rPr>
          <w:rFonts w:ascii="Traditional Arabic" w:hAnsi="Traditional Arabic" w:cs="Traditional Arabic"/>
          <w:sz w:val="32"/>
          <w:szCs w:val="32"/>
          <w:rtl/>
          <w:lang w:bidi="ar"/>
        </w:rPr>
        <w:t>.</w:t>
      </w:r>
    </w:p>
    <w:p w:rsidR="00314F0F" w:rsidRPr="00314F0F" w:rsidRDefault="00314F0F" w:rsidP="00314F0F">
      <w:pPr>
        <w:rPr>
          <w:rFonts w:ascii="Traditional Arabic" w:hAnsi="Traditional Arabic" w:cs="Traditional Arabic"/>
          <w:b/>
          <w:bCs/>
          <w:sz w:val="32"/>
          <w:szCs w:val="32"/>
          <w:rtl/>
          <w:lang w:bidi="ar"/>
        </w:rPr>
      </w:pPr>
      <w:r w:rsidRPr="00314F0F">
        <w:rPr>
          <w:rFonts w:ascii="Traditional Arabic" w:hAnsi="Traditional Arabic" w:cs="Traditional Arabic"/>
          <w:b/>
          <w:bCs/>
          <w:sz w:val="32"/>
          <w:szCs w:val="32"/>
          <w:rtl/>
          <w:lang w:bidi="ar"/>
        </w:rPr>
        <w:t>باستعمال المتجهات</w:t>
      </w:r>
    </w:p>
    <w:p w:rsidR="00314F0F" w:rsidRPr="00314F0F" w:rsidRDefault="00314F0F" w:rsidP="006B0965">
      <w:pPr>
        <w:rPr>
          <w:rFonts w:ascii="Traditional Arabic" w:hAnsi="Traditional Arabic" w:cs="Traditional Arabic"/>
          <w:sz w:val="32"/>
          <w:szCs w:val="32"/>
          <w:rtl/>
          <w:lang w:bidi="ar"/>
        </w:rPr>
      </w:pPr>
      <w:r w:rsidRPr="00314F0F">
        <w:rPr>
          <w:rFonts w:ascii="Traditional Arabic" w:hAnsi="Traditional Arabic" w:cs="Traditional Arabic"/>
          <w:sz w:val="32"/>
          <w:szCs w:val="32"/>
          <w:rtl/>
          <w:lang w:bidi="ar"/>
        </w:rPr>
        <w:t xml:space="preserve">قد تحسب مساحة متوازي أضلع في فضاء اقليدي ثلاثي الأبعاد باستعمال المتجهات. ليكن </w:t>
      </w:r>
      <w:r w:rsidRPr="00314F0F">
        <w:rPr>
          <w:rFonts w:ascii="Traditional Arabic" w:hAnsi="Traditional Arabic" w:cs="Traditional Arabic"/>
          <w:sz w:val="32"/>
          <w:szCs w:val="32"/>
        </w:rPr>
        <w:t>AB</w:t>
      </w:r>
      <w:r w:rsidRPr="00314F0F">
        <w:rPr>
          <w:rFonts w:ascii="Traditional Arabic" w:hAnsi="Traditional Arabic" w:cs="Traditional Arabic"/>
          <w:sz w:val="32"/>
          <w:szCs w:val="32"/>
          <w:rtl/>
          <w:lang w:bidi="ar"/>
        </w:rPr>
        <w:t xml:space="preserve"> (قد يرمز إلى المتجهة </w:t>
      </w:r>
      <w:r w:rsidRPr="00314F0F">
        <w:rPr>
          <w:rFonts w:ascii="Traditional Arabic" w:hAnsi="Traditional Arabic" w:cs="Traditional Arabic"/>
          <w:sz w:val="32"/>
          <w:szCs w:val="32"/>
        </w:rPr>
        <w:t>AB</w:t>
      </w:r>
      <w:r w:rsidRPr="00314F0F">
        <w:rPr>
          <w:rFonts w:ascii="Traditional Arabic" w:hAnsi="Traditional Arabic" w:cs="Traditional Arabic"/>
          <w:sz w:val="32"/>
          <w:szCs w:val="32"/>
          <w:rtl/>
          <w:lang w:bidi="ar"/>
        </w:rPr>
        <w:t xml:space="preserve"> ب </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vanish/>
          <w:sz w:val="32"/>
          <w:szCs w:val="32"/>
        </w:rPr>
        <w:t>displaystyle \scriptstyle {\overrightarrow {AB</w:t>
      </w:r>
      <w:r w:rsidRPr="00314F0F">
        <w:rPr>
          <w:rFonts w:ascii="Traditional Arabic" w:hAnsi="Traditional Arabic" w:cs="Traditional Arabic"/>
          <w:vanish/>
          <w:sz w:val="32"/>
          <w:szCs w:val="32"/>
          <w:rtl/>
          <w:lang w:bidi="ar"/>
        </w:rPr>
        <w:t>}}}</w:t>
      </w:r>
      <w:r w:rsidRPr="00314F0F">
        <w:rPr>
          <w:rFonts w:ascii="Traditional Arabic" w:hAnsi="Traditional Arabic" w:cs="Traditional Arabic"/>
          <w:noProof/>
          <w:sz w:val="32"/>
          <w:szCs w:val="32"/>
        </w:rPr>
        <mc:AlternateContent>
          <mc:Choice Requires="wps">
            <w:drawing>
              <wp:inline distT="0" distB="0" distL="0" distR="0">
                <wp:extent cx="304800" cy="304800"/>
                <wp:effectExtent l="0" t="0" r="0" b="0"/>
                <wp:docPr id="10" name="مستطيل 10" descr="{\displaystyle \scriptstyle {\overrightarrow {A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B6E60" id="مستطيل 10" o:spid="_x0000_s1026" alt="{\displaystyle \scriptstyle {\overrightarrow {A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ZAVWu7gIAAPgFAAAOAAAA&#10;AAAAAAAAAAAAAC4CAABkcnMvZTJvRG9jLnhtbFBLAQItABQABgAIAAAAIQBMoOks2AAAAAMBAAAP&#10;AAAAAAAAAAAAAAAAAEgFAABkcnMvZG93bnJldi54bWxQSwUGAAAAAAQABADzAAAATQYAAAAA&#10;" filled="f" stroked="f">
                <o:lock v:ext="edit" aspectratio="t"/>
                <w10:wrap anchorx="page"/>
                <w10:anchorlock/>
              </v:rect>
            </w:pict>
          </mc:Fallback>
        </mc:AlternateContent>
      </w:r>
      <w:r w:rsidRPr="00314F0F">
        <w:rPr>
          <w:rFonts w:ascii="Traditional Arabic" w:hAnsi="Traditional Arabic" w:cs="Traditional Arabic"/>
          <w:sz w:val="32"/>
          <w:szCs w:val="32"/>
          <w:rtl/>
          <w:lang w:bidi="ar"/>
        </w:rPr>
        <w:t xml:space="preserve">) و </w:t>
      </w:r>
      <w:r w:rsidRPr="00314F0F">
        <w:rPr>
          <w:rFonts w:ascii="Traditional Arabic" w:hAnsi="Traditional Arabic" w:cs="Traditional Arabic"/>
          <w:sz w:val="32"/>
          <w:szCs w:val="32"/>
        </w:rPr>
        <w:t>AC</w:t>
      </w:r>
      <w:r w:rsidRPr="00314F0F">
        <w:rPr>
          <w:rFonts w:ascii="Traditional Arabic" w:hAnsi="Traditional Arabic" w:cs="Traditional Arabic"/>
          <w:sz w:val="32"/>
          <w:szCs w:val="32"/>
          <w:rtl/>
          <w:lang w:bidi="ar"/>
        </w:rPr>
        <w:t xml:space="preserve"> المتجهتين المنطلقتين من </w:t>
      </w:r>
      <w:r w:rsidRPr="00314F0F">
        <w:rPr>
          <w:rFonts w:ascii="Traditional Arabic" w:hAnsi="Traditional Arabic" w:cs="Traditional Arabic"/>
          <w:sz w:val="32"/>
          <w:szCs w:val="32"/>
        </w:rPr>
        <w:t>A</w:t>
      </w:r>
      <w:r w:rsidRPr="00314F0F">
        <w:rPr>
          <w:rFonts w:ascii="Traditional Arabic" w:hAnsi="Traditional Arabic" w:cs="Traditional Arabic"/>
          <w:sz w:val="32"/>
          <w:szCs w:val="32"/>
          <w:rtl/>
          <w:lang w:bidi="ar"/>
        </w:rPr>
        <w:t xml:space="preserve"> والواصلتين إلى </w:t>
      </w:r>
      <w:r w:rsidRPr="00314F0F">
        <w:rPr>
          <w:rFonts w:ascii="Traditional Arabic" w:hAnsi="Traditional Arabic" w:cs="Traditional Arabic"/>
          <w:sz w:val="32"/>
          <w:szCs w:val="32"/>
        </w:rPr>
        <w:t>B</w:t>
      </w:r>
      <w:r w:rsidRPr="00314F0F">
        <w:rPr>
          <w:rFonts w:ascii="Traditional Arabic" w:hAnsi="Traditional Arabic" w:cs="Traditional Arabic"/>
          <w:sz w:val="32"/>
          <w:szCs w:val="32"/>
          <w:rtl/>
          <w:lang w:bidi="ar"/>
        </w:rPr>
        <w:t xml:space="preserve"> و </w:t>
      </w:r>
      <w:r w:rsidRPr="00314F0F">
        <w:rPr>
          <w:rFonts w:ascii="Traditional Arabic" w:hAnsi="Traditional Arabic" w:cs="Traditional Arabic"/>
          <w:sz w:val="32"/>
          <w:szCs w:val="32"/>
        </w:rPr>
        <w:t>C</w:t>
      </w:r>
      <w:r w:rsidRPr="00314F0F">
        <w:rPr>
          <w:rFonts w:ascii="Traditional Arabic" w:hAnsi="Traditional Arabic" w:cs="Traditional Arabic"/>
          <w:sz w:val="32"/>
          <w:szCs w:val="32"/>
          <w:rtl/>
          <w:lang w:bidi="ar"/>
        </w:rPr>
        <w:t xml:space="preserve"> على التوالي. مساحة متوازي الأضلاع </w:t>
      </w:r>
      <w:r w:rsidRPr="00314F0F">
        <w:rPr>
          <w:rFonts w:ascii="Traditional Arabic" w:hAnsi="Traditional Arabic" w:cs="Traditional Arabic"/>
          <w:sz w:val="32"/>
          <w:szCs w:val="32"/>
        </w:rPr>
        <w:t>ABCD</w:t>
      </w:r>
      <w:r w:rsidRPr="00314F0F">
        <w:rPr>
          <w:rFonts w:ascii="Traditional Arabic" w:hAnsi="Traditional Arabic" w:cs="Traditional Arabic"/>
          <w:sz w:val="32"/>
          <w:szCs w:val="32"/>
          <w:rtl/>
          <w:lang w:bidi="ar"/>
        </w:rPr>
        <w:t xml:space="preserve"> والذي يعنى وُسع </w:t>
      </w:r>
      <w:hyperlink r:id="rId28" w:tooltip="ضرب اتجاهي" w:history="1">
        <w:r w:rsidRPr="00314F0F">
          <w:rPr>
            <w:rStyle w:val="Hyperlink"/>
            <w:rFonts w:ascii="Traditional Arabic" w:hAnsi="Traditional Arabic" w:cs="Traditional Arabic"/>
            <w:sz w:val="32"/>
            <w:szCs w:val="32"/>
            <w:rtl/>
            <w:lang w:bidi="ar"/>
          </w:rPr>
          <w:t>الضرب الاتجاهي</w:t>
        </w:r>
      </w:hyperlink>
      <w:r w:rsidRPr="00314F0F">
        <w:rPr>
          <w:rFonts w:ascii="Traditional Arabic" w:hAnsi="Traditional Arabic" w:cs="Traditional Arabic"/>
          <w:sz w:val="32"/>
          <w:szCs w:val="32"/>
          <w:rtl/>
          <w:lang w:bidi="ar"/>
        </w:rPr>
        <w:t xml:space="preserve"> للمتجهتين </w:t>
      </w:r>
      <w:r w:rsidRPr="00314F0F">
        <w:rPr>
          <w:rFonts w:ascii="Traditional Arabic" w:hAnsi="Traditional Arabic" w:cs="Traditional Arabic"/>
          <w:sz w:val="32"/>
          <w:szCs w:val="32"/>
        </w:rPr>
        <w:t>AB</w:t>
      </w:r>
      <w:r w:rsidRPr="00314F0F">
        <w:rPr>
          <w:rFonts w:ascii="Traditional Arabic" w:hAnsi="Traditional Arabic" w:cs="Traditional Arabic"/>
          <w:sz w:val="32"/>
          <w:szCs w:val="32"/>
          <w:rtl/>
          <w:lang w:bidi="ar"/>
        </w:rPr>
        <w:t xml:space="preserve"> و </w:t>
      </w:r>
      <w:r w:rsidRPr="00314F0F">
        <w:rPr>
          <w:rFonts w:ascii="Traditional Arabic" w:hAnsi="Traditional Arabic" w:cs="Traditional Arabic"/>
          <w:sz w:val="32"/>
          <w:szCs w:val="32"/>
        </w:rPr>
        <w:t>AC</w:t>
      </w:r>
      <w:r w:rsidRPr="00314F0F">
        <w:rPr>
          <w:rFonts w:ascii="Traditional Arabic" w:hAnsi="Traditional Arabic" w:cs="Traditional Arabic"/>
          <w:sz w:val="32"/>
          <w:szCs w:val="32"/>
          <w:rtl/>
          <w:lang w:bidi="ar"/>
        </w:rPr>
        <w:t>. مساحة المثلث تساوي نصف هذا الوسع</w:t>
      </w:r>
      <w:r w:rsidR="006B0965">
        <w:rPr>
          <w:rFonts w:ascii="Traditional Arabic" w:hAnsi="Traditional Arabic" w:cs="Traditional Arabic" w:hint="cs"/>
          <w:sz w:val="32"/>
          <w:szCs w:val="32"/>
          <w:rtl/>
          <w:lang w:bidi="ar"/>
        </w:rPr>
        <w:t>.</w:t>
      </w:r>
    </w:p>
    <w:p w:rsidR="00314F0F" w:rsidRDefault="00314F0F" w:rsidP="00314F0F">
      <w:pPr>
        <w:rPr>
          <w:rFonts w:ascii="Traditional Arabic" w:hAnsi="Traditional Arabic" w:cs="Traditional Arabic"/>
          <w:b/>
          <w:bCs/>
          <w:sz w:val="32"/>
          <w:szCs w:val="32"/>
          <w:rtl/>
          <w:lang w:bidi="ar"/>
        </w:rPr>
      </w:pPr>
    </w:p>
    <w:p w:rsidR="006B0965" w:rsidRDefault="006B0965" w:rsidP="00314F0F">
      <w:pPr>
        <w:rPr>
          <w:rFonts w:ascii="Traditional Arabic" w:hAnsi="Traditional Arabic" w:cs="Traditional Arabic"/>
          <w:sz w:val="32"/>
          <w:szCs w:val="32"/>
          <w:rtl/>
          <w:lang w:bidi="ar"/>
        </w:rPr>
      </w:pPr>
    </w:p>
    <w:p w:rsidR="006B0965" w:rsidRDefault="006B0965" w:rsidP="00314F0F">
      <w:pPr>
        <w:rPr>
          <w:rFonts w:ascii="Traditional Arabic" w:hAnsi="Traditional Arabic" w:cs="Traditional Arabic"/>
          <w:sz w:val="32"/>
          <w:szCs w:val="32"/>
          <w:rtl/>
          <w:lang w:bidi="ar"/>
        </w:rPr>
      </w:pPr>
    </w:p>
    <w:bookmarkEnd w:id="0"/>
    <w:p w:rsidR="00314F0F" w:rsidRPr="00314F0F" w:rsidRDefault="00314F0F">
      <w:pPr>
        <w:rPr>
          <w:rFonts w:ascii="Traditional Arabic" w:hAnsi="Traditional Arabic" w:cs="Traditional Arabic"/>
          <w:sz w:val="32"/>
          <w:szCs w:val="32"/>
          <w:lang w:bidi="ar"/>
        </w:rPr>
      </w:pPr>
    </w:p>
    <w:sectPr w:rsidR="00314F0F" w:rsidRPr="00314F0F" w:rsidSect="006B0965">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7AC"/>
    <w:multiLevelType w:val="multilevel"/>
    <w:tmpl w:val="02B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447AD"/>
    <w:multiLevelType w:val="multilevel"/>
    <w:tmpl w:val="D1E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F0F3E"/>
    <w:multiLevelType w:val="multilevel"/>
    <w:tmpl w:val="E8DC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455337"/>
    <w:multiLevelType w:val="multilevel"/>
    <w:tmpl w:val="7E22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437B7"/>
    <w:multiLevelType w:val="multilevel"/>
    <w:tmpl w:val="598CA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51EE1"/>
    <w:multiLevelType w:val="multilevel"/>
    <w:tmpl w:val="AE5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B63D0C"/>
    <w:multiLevelType w:val="multilevel"/>
    <w:tmpl w:val="572C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116046"/>
    <w:multiLevelType w:val="multilevel"/>
    <w:tmpl w:val="63C6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55724D"/>
    <w:multiLevelType w:val="multilevel"/>
    <w:tmpl w:val="72D2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815F6A"/>
    <w:multiLevelType w:val="multilevel"/>
    <w:tmpl w:val="43AC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675F3F"/>
    <w:multiLevelType w:val="multilevel"/>
    <w:tmpl w:val="71D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8"/>
  </w:num>
  <w:num w:numId="6">
    <w:abstractNumId w:val="5"/>
  </w:num>
  <w:num w:numId="7">
    <w:abstractNumId w:val="9"/>
  </w:num>
  <w:num w:numId="8">
    <w:abstractNumId w:val="10"/>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0F"/>
    <w:rsid w:val="00314F0F"/>
    <w:rsid w:val="003C6EE0"/>
    <w:rsid w:val="00694FF4"/>
    <w:rsid w:val="006B0965"/>
    <w:rsid w:val="006E5055"/>
    <w:rsid w:val="00753752"/>
    <w:rsid w:val="00A67F27"/>
    <w:rsid w:val="00C75453"/>
    <w:rsid w:val="00E36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A5C1"/>
  <w15:chartTrackingRefBased/>
  <w15:docId w15:val="{610363FD-11B5-40EE-B1FA-14E5F748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314F0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4F0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14F0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F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4F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4F0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14F0F"/>
    <w:rPr>
      <w:rFonts w:ascii="Times New Roman" w:eastAsia="Times New Roman" w:hAnsi="Times New Roman" w:cs="Times New Roman"/>
      <w:b/>
      <w:bCs/>
      <w:sz w:val="24"/>
      <w:szCs w:val="24"/>
    </w:rPr>
  </w:style>
  <w:style w:type="paragraph" w:customStyle="1" w:styleId="msonormal0">
    <w:name w:val="msonormal"/>
    <w:basedOn w:val="Normal"/>
    <w:rsid w:val="00314F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314F0F"/>
  </w:style>
  <w:style w:type="character" w:customStyle="1" w:styleId="mw-editsection-bracket">
    <w:name w:val="mw-editsection-bracket"/>
    <w:basedOn w:val="DefaultParagraphFont"/>
    <w:rsid w:val="00314F0F"/>
  </w:style>
  <w:style w:type="character" w:styleId="Hyperlink">
    <w:name w:val="Hyperlink"/>
    <w:basedOn w:val="DefaultParagraphFont"/>
    <w:uiPriority w:val="99"/>
    <w:unhideWhenUsed/>
    <w:rsid w:val="00314F0F"/>
    <w:rPr>
      <w:color w:val="0000FF"/>
      <w:u w:val="single"/>
    </w:rPr>
  </w:style>
  <w:style w:type="character" w:styleId="FollowedHyperlink">
    <w:name w:val="FollowedHyperlink"/>
    <w:basedOn w:val="DefaultParagraphFont"/>
    <w:uiPriority w:val="99"/>
    <w:semiHidden/>
    <w:unhideWhenUsed/>
    <w:rsid w:val="00314F0F"/>
    <w:rPr>
      <w:color w:val="800080"/>
      <w:u w:val="single"/>
    </w:rPr>
  </w:style>
  <w:style w:type="character" w:customStyle="1" w:styleId="mwe-math-element">
    <w:name w:val="mwe-math-element"/>
    <w:basedOn w:val="DefaultParagraphFont"/>
    <w:rsid w:val="00314F0F"/>
  </w:style>
  <w:style w:type="character" w:customStyle="1" w:styleId="mwe-math-mathml-inline">
    <w:name w:val="mwe-math-mathml-inline"/>
    <w:basedOn w:val="DefaultParagraphFont"/>
    <w:rsid w:val="00314F0F"/>
  </w:style>
  <w:style w:type="character" w:customStyle="1" w:styleId="toctogglespan">
    <w:name w:val="toctogglespan"/>
    <w:basedOn w:val="DefaultParagraphFont"/>
    <w:rsid w:val="00314F0F"/>
  </w:style>
  <w:style w:type="paragraph" w:customStyle="1" w:styleId="toclevel-1">
    <w:name w:val="toclevel-1"/>
    <w:basedOn w:val="Normal"/>
    <w:rsid w:val="00314F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314F0F"/>
  </w:style>
  <w:style w:type="character" w:customStyle="1" w:styleId="toctext">
    <w:name w:val="toctext"/>
    <w:basedOn w:val="DefaultParagraphFont"/>
    <w:rsid w:val="00314F0F"/>
  </w:style>
  <w:style w:type="paragraph" w:customStyle="1" w:styleId="toclevel-2">
    <w:name w:val="toclevel-2"/>
    <w:basedOn w:val="Normal"/>
    <w:rsid w:val="00314F0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314F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14F0F"/>
  </w:style>
  <w:style w:type="character" w:styleId="UnresolvedMention">
    <w:name w:val="Unresolved Mention"/>
    <w:basedOn w:val="DefaultParagraphFont"/>
    <w:uiPriority w:val="99"/>
    <w:semiHidden/>
    <w:unhideWhenUsed/>
    <w:rsid w:val="00314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450458">
      <w:bodyDiv w:val="1"/>
      <w:marLeft w:val="0"/>
      <w:marRight w:val="0"/>
      <w:marTop w:val="0"/>
      <w:marBottom w:val="0"/>
      <w:divBdr>
        <w:top w:val="none" w:sz="0" w:space="0" w:color="auto"/>
        <w:left w:val="none" w:sz="0" w:space="0" w:color="auto"/>
        <w:bottom w:val="none" w:sz="0" w:space="0" w:color="auto"/>
        <w:right w:val="none" w:sz="0" w:space="0" w:color="auto"/>
      </w:divBdr>
      <w:divsChild>
        <w:div w:id="1479035018">
          <w:marLeft w:val="0"/>
          <w:marRight w:val="0"/>
          <w:marTop w:val="0"/>
          <w:marBottom w:val="0"/>
          <w:divBdr>
            <w:top w:val="none" w:sz="0" w:space="0" w:color="auto"/>
            <w:left w:val="none" w:sz="0" w:space="0" w:color="auto"/>
            <w:bottom w:val="none" w:sz="0" w:space="0" w:color="auto"/>
            <w:right w:val="none" w:sz="0" w:space="0" w:color="auto"/>
          </w:divBdr>
          <w:divsChild>
            <w:div w:id="547376299">
              <w:marLeft w:val="0"/>
              <w:marRight w:val="0"/>
              <w:marTop w:val="0"/>
              <w:marBottom w:val="0"/>
              <w:divBdr>
                <w:top w:val="none" w:sz="0" w:space="0" w:color="auto"/>
                <w:left w:val="none" w:sz="0" w:space="0" w:color="auto"/>
                <w:bottom w:val="none" w:sz="0" w:space="0" w:color="auto"/>
                <w:right w:val="none" w:sz="0" w:space="0" w:color="auto"/>
              </w:divBdr>
              <w:divsChild>
                <w:div w:id="1153372479">
                  <w:marLeft w:val="0"/>
                  <w:marRight w:val="0"/>
                  <w:marTop w:val="0"/>
                  <w:marBottom w:val="0"/>
                  <w:divBdr>
                    <w:top w:val="none" w:sz="0" w:space="0" w:color="auto"/>
                    <w:left w:val="none" w:sz="0" w:space="0" w:color="auto"/>
                    <w:bottom w:val="none" w:sz="0" w:space="0" w:color="auto"/>
                    <w:right w:val="none" w:sz="0" w:space="0" w:color="auto"/>
                  </w:divBdr>
                  <w:divsChild>
                    <w:div w:id="1760904376">
                      <w:marLeft w:val="0"/>
                      <w:marRight w:val="0"/>
                      <w:marTop w:val="30"/>
                      <w:marBottom w:val="30"/>
                      <w:divBdr>
                        <w:top w:val="single" w:sz="6" w:space="0" w:color="C0C0C0"/>
                        <w:left w:val="single" w:sz="6" w:space="0" w:color="C0C0C0"/>
                        <w:bottom w:val="single" w:sz="6" w:space="0" w:color="C0C0C0"/>
                        <w:right w:val="single" w:sz="6" w:space="0" w:color="C0C0C0"/>
                      </w:divBdr>
                      <w:divsChild>
                        <w:div w:id="1503816781">
                          <w:marLeft w:val="0"/>
                          <w:marRight w:val="0"/>
                          <w:marTop w:val="0"/>
                          <w:marBottom w:val="0"/>
                          <w:divBdr>
                            <w:top w:val="none" w:sz="0" w:space="0" w:color="auto"/>
                            <w:left w:val="none" w:sz="0" w:space="0" w:color="auto"/>
                            <w:bottom w:val="none" w:sz="0" w:space="0" w:color="auto"/>
                            <w:right w:val="none" w:sz="0" w:space="0" w:color="auto"/>
                          </w:divBdr>
                        </w:div>
                        <w:div w:id="2075467958">
                          <w:marLeft w:val="0"/>
                          <w:marRight w:val="0"/>
                          <w:marTop w:val="0"/>
                          <w:marBottom w:val="0"/>
                          <w:divBdr>
                            <w:top w:val="none" w:sz="0" w:space="0" w:color="auto"/>
                            <w:left w:val="none" w:sz="0" w:space="0" w:color="auto"/>
                            <w:bottom w:val="none" w:sz="0" w:space="0" w:color="auto"/>
                            <w:right w:val="none" w:sz="0" w:space="0" w:color="auto"/>
                          </w:divBdr>
                        </w:div>
                      </w:divsChild>
                    </w:div>
                    <w:div w:id="1585920066">
                      <w:marLeft w:val="0"/>
                      <w:marRight w:val="0"/>
                      <w:marTop w:val="0"/>
                      <w:marBottom w:val="0"/>
                      <w:divBdr>
                        <w:top w:val="none" w:sz="0" w:space="0" w:color="auto"/>
                        <w:left w:val="none" w:sz="0" w:space="0" w:color="auto"/>
                        <w:bottom w:val="none" w:sz="0" w:space="0" w:color="auto"/>
                        <w:right w:val="none" w:sz="0" w:space="0" w:color="auto"/>
                      </w:divBdr>
                    </w:div>
                    <w:div w:id="760488816">
                      <w:marLeft w:val="0"/>
                      <w:marRight w:val="0"/>
                      <w:marTop w:val="0"/>
                      <w:marBottom w:val="0"/>
                      <w:divBdr>
                        <w:top w:val="single" w:sz="6" w:space="5" w:color="A2A9B1"/>
                        <w:left w:val="single" w:sz="6" w:space="5" w:color="A2A9B1"/>
                        <w:bottom w:val="single" w:sz="6" w:space="5" w:color="A2A9B1"/>
                        <w:right w:val="single" w:sz="6" w:space="5" w:color="A2A9B1"/>
                      </w:divBdr>
                    </w:div>
                    <w:div w:id="1196888286">
                      <w:marLeft w:val="0"/>
                      <w:marRight w:val="336"/>
                      <w:marTop w:val="120"/>
                      <w:marBottom w:val="312"/>
                      <w:divBdr>
                        <w:top w:val="none" w:sz="0" w:space="0" w:color="auto"/>
                        <w:left w:val="none" w:sz="0" w:space="0" w:color="auto"/>
                        <w:bottom w:val="none" w:sz="0" w:space="0" w:color="auto"/>
                        <w:right w:val="none" w:sz="0" w:space="0" w:color="auto"/>
                      </w:divBdr>
                      <w:divsChild>
                        <w:div w:id="52599337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848445262">
                      <w:marLeft w:val="0"/>
                      <w:marRight w:val="336"/>
                      <w:marTop w:val="120"/>
                      <w:marBottom w:val="312"/>
                      <w:divBdr>
                        <w:top w:val="none" w:sz="0" w:space="0" w:color="auto"/>
                        <w:left w:val="none" w:sz="0" w:space="0" w:color="auto"/>
                        <w:bottom w:val="none" w:sz="0" w:space="0" w:color="auto"/>
                        <w:right w:val="none" w:sz="0" w:space="0" w:color="auto"/>
                      </w:divBdr>
                      <w:divsChild>
                        <w:div w:id="2089837941">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661659084">
                      <w:marLeft w:val="0"/>
                      <w:marRight w:val="336"/>
                      <w:marTop w:val="120"/>
                      <w:marBottom w:val="312"/>
                      <w:divBdr>
                        <w:top w:val="none" w:sz="0" w:space="0" w:color="auto"/>
                        <w:left w:val="none" w:sz="0" w:space="0" w:color="auto"/>
                        <w:bottom w:val="none" w:sz="0" w:space="0" w:color="auto"/>
                        <w:right w:val="none" w:sz="0" w:space="0" w:color="auto"/>
                      </w:divBdr>
                      <w:divsChild>
                        <w:div w:id="8468787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56448984">
                      <w:marLeft w:val="0"/>
                      <w:marRight w:val="336"/>
                      <w:marTop w:val="120"/>
                      <w:marBottom w:val="312"/>
                      <w:divBdr>
                        <w:top w:val="none" w:sz="0" w:space="0" w:color="auto"/>
                        <w:left w:val="none" w:sz="0" w:space="0" w:color="auto"/>
                        <w:bottom w:val="none" w:sz="0" w:space="0" w:color="auto"/>
                        <w:right w:val="none" w:sz="0" w:space="0" w:color="auto"/>
                      </w:divBdr>
                      <w:divsChild>
                        <w:div w:id="507525661">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322973739">
                      <w:marLeft w:val="0"/>
                      <w:marRight w:val="0"/>
                      <w:marTop w:val="0"/>
                      <w:marBottom w:val="75"/>
                      <w:divBdr>
                        <w:top w:val="single" w:sz="6" w:space="0" w:color="E6E6E6"/>
                        <w:left w:val="single" w:sz="2" w:space="0" w:color="E6E6E6"/>
                        <w:bottom w:val="single" w:sz="6" w:space="0" w:color="E6E6E6"/>
                        <w:right w:val="single" w:sz="2" w:space="0" w:color="E6E6E6"/>
                      </w:divBdr>
                    </w:div>
                    <w:div w:id="322708869">
                      <w:marLeft w:val="336"/>
                      <w:marRight w:val="0"/>
                      <w:marTop w:val="120"/>
                      <w:marBottom w:val="312"/>
                      <w:divBdr>
                        <w:top w:val="none" w:sz="0" w:space="0" w:color="auto"/>
                        <w:left w:val="none" w:sz="0" w:space="0" w:color="auto"/>
                        <w:bottom w:val="none" w:sz="0" w:space="0" w:color="auto"/>
                        <w:right w:val="none" w:sz="0" w:space="0" w:color="auto"/>
                      </w:divBdr>
                      <w:divsChild>
                        <w:div w:id="70236705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572589079">
                      <w:marLeft w:val="0"/>
                      <w:marRight w:val="336"/>
                      <w:marTop w:val="120"/>
                      <w:marBottom w:val="312"/>
                      <w:divBdr>
                        <w:top w:val="none" w:sz="0" w:space="0" w:color="auto"/>
                        <w:left w:val="none" w:sz="0" w:space="0" w:color="auto"/>
                        <w:bottom w:val="none" w:sz="0" w:space="0" w:color="auto"/>
                        <w:right w:val="none" w:sz="0" w:space="0" w:color="auto"/>
                      </w:divBdr>
                      <w:divsChild>
                        <w:div w:id="154613788">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58989189">
                      <w:marLeft w:val="336"/>
                      <w:marRight w:val="0"/>
                      <w:marTop w:val="120"/>
                      <w:marBottom w:val="312"/>
                      <w:divBdr>
                        <w:top w:val="none" w:sz="0" w:space="0" w:color="auto"/>
                        <w:left w:val="none" w:sz="0" w:space="0" w:color="auto"/>
                        <w:bottom w:val="none" w:sz="0" w:space="0" w:color="auto"/>
                        <w:right w:val="none" w:sz="0" w:space="0" w:color="auto"/>
                      </w:divBdr>
                      <w:divsChild>
                        <w:div w:id="80920210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499586971">
                      <w:marLeft w:val="0"/>
                      <w:marRight w:val="336"/>
                      <w:marTop w:val="120"/>
                      <w:marBottom w:val="312"/>
                      <w:divBdr>
                        <w:top w:val="none" w:sz="0" w:space="0" w:color="auto"/>
                        <w:left w:val="none" w:sz="0" w:space="0" w:color="auto"/>
                        <w:bottom w:val="none" w:sz="0" w:space="0" w:color="auto"/>
                        <w:right w:val="none" w:sz="0" w:space="0" w:color="auto"/>
                      </w:divBdr>
                      <w:divsChild>
                        <w:div w:id="2128816475">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331905367">
                      <w:marLeft w:val="0"/>
                      <w:marRight w:val="336"/>
                      <w:marTop w:val="120"/>
                      <w:marBottom w:val="312"/>
                      <w:divBdr>
                        <w:top w:val="none" w:sz="0" w:space="0" w:color="auto"/>
                        <w:left w:val="none" w:sz="0" w:space="0" w:color="auto"/>
                        <w:bottom w:val="none" w:sz="0" w:space="0" w:color="auto"/>
                        <w:right w:val="none" w:sz="0" w:space="0" w:color="auto"/>
                      </w:divBdr>
                      <w:divsChild>
                        <w:div w:id="204964241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608347874">
                      <w:marLeft w:val="0"/>
                      <w:marRight w:val="336"/>
                      <w:marTop w:val="120"/>
                      <w:marBottom w:val="312"/>
                      <w:divBdr>
                        <w:top w:val="none" w:sz="0" w:space="0" w:color="auto"/>
                        <w:left w:val="none" w:sz="0" w:space="0" w:color="auto"/>
                        <w:bottom w:val="none" w:sz="0" w:space="0" w:color="auto"/>
                        <w:right w:val="none" w:sz="0" w:space="0" w:color="auto"/>
                      </w:divBdr>
                      <w:divsChild>
                        <w:div w:id="1904872778">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wikipedia.org/wiki/%D9%85%D9%84%D9%81:Triangolo-Rettangolo.png" TargetMode="External"/><Relationship Id="rId18" Type="http://schemas.openxmlformats.org/officeDocument/2006/relationships/image" Target="media/image7.png"/><Relationship Id="rId26" Type="http://schemas.openxmlformats.org/officeDocument/2006/relationships/hyperlink" Target="https://ar.wikipedia.org/wiki/%D9%85%D9%84%D9%81:Triangle.GeometryArea.png" TargetMode="External"/><Relationship Id="rId3" Type="http://schemas.openxmlformats.org/officeDocument/2006/relationships/settings" Target="settings.xml"/><Relationship Id="rId21" Type="http://schemas.openxmlformats.org/officeDocument/2006/relationships/hyperlink" Target="https://ar.wikipedia.org/wiki/%D9%85%D9%84%D9%81:Remint3.svg" TargetMode="External"/><Relationship Id="rId7" Type="http://schemas.openxmlformats.org/officeDocument/2006/relationships/hyperlink" Target="https://ar.wikipedia.org/wiki/%D9%85%D9%84%D9%81:Triangolo-Equilatero.png" TargetMode="External"/><Relationship Id="rId12" Type="http://schemas.openxmlformats.org/officeDocument/2006/relationships/image" Target="media/image4.png"/><Relationship Id="rId17" Type="http://schemas.openxmlformats.org/officeDocument/2006/relationships/hyperlink" Target="https://ar.wikipedia.org/wiki/%D9%85%D9%84%D9%81:Triangle.Acute.png"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r.wikipedia.org/wiki/%D9%85%D9%84%D9%81:Triangolo-Scaleno.png" TargetMode="External"/><Relationship Id="rId24" Type="http://schemas.openxmlformats.org/officeDocument/2006/relationships/hyperlink" Target="https://ar.wikipedia.org/wiki/%D9%85%D9%84%D9%81:Pythagorean.svg" TargetMode="External"/><Relationship Id="rId5" Type="http://schemas.openxmlformats.org/officeDocument/2006/relationships/hyperlink" Target="https://ar.wikipedia.org/wiki/%D9%85%D9%84%D9%81:Euler_diagram_of_triangle_types.svg" TargetMode="External"/><Relationship Id="rId15" Type="http://schemas.openxmlformats.org/officeDocument/2006/relationships/hyperlink" Target="https://ar.wikipedia.org/wiki/%D9%85%D9%84%D9%81:Triangolo-Ottuso.png" TargetMode="External"/><Relationship Id="rId23" Type="http://schemas.openxmlformats.org/officeDocument/2006/relationships/hyperlink" Target="https://ar.wikipedia.org/wiki/%D8%AA%D8%B7%D8%A7%D8%A8%D9%82_(%D9%87%D9%86%D8%AF%D8%B3%D8%A9)" TargetMode="External"/><Relationship Id="rId28" Type="http://schemas.openxmlformats.org/officeDocument/2006/relationships/hyperlink" Target="https://ar.wikipedia.org/wiki/%D8%B6%D8%B1%D8%A8_%D8%A7%D8%AA%D8%AC%D8%A7%D9%87%D9%8A" TargetMode="External"/><Relationship Id="rId10" Type="http://schemas.openxmlformats.org/officeDocument/2006/relationships/image" Target="media/image3.png"/><Relationship Id="rId19" Type="http://schemas.openxmlformats.org/officeDocument/2006/relationships/hyperlink" Target="https://ar.wikipedia.org/wiki/%D9%85%D9%84%D9%81:Triangle_sommeangles.svg" TargetMode="External"/><Relationship Id="rId4" Type="http://schemas.openxmlformats.org/officeDocument/2006/relationships/webSettings" Target="webSettings.xml"/><Relationship Id="rId9" Type="http://schemas.openxmlformats.org/officeDocument/2006/relationships/hyperlink" Target="https://ar.wikipedia.org/wiki/%D9%85%D9%84%D9%81:Triangle.Isosceles.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794</Words>
  <Characters>4526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dcterms:created xsi:type="dcterms:W3CDTF">2018-11-18T13:15:00Z</dcterms:created>
  <dcterms:modified xsi:type="dcterms:W3CDTF">2019-01-19T00:42:00Z</dcterms:modified>
</cp:coreProperties>
</file>