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8F" w:rsidRPr="00263D8F" w:rsidRDefault="00263D8F" w:rsidP="00263D8F">
      <w:pPr>
        <w:jc w:val="center"/>
        <w:rPr>
          <w:rFonts w:ascii="Traditional Arabic" w:eastAsia="Times New Roman" w:hAnsi="Traditional Arabic" w:cs="Traditional Arabic"/>
          <w:b/>
          <w:bCs/>
          <w:color w:val="222222"/>
          <w:sz w:val="45"/>
          <w:szCs w:val="45"/>
          <w:u w:val="single"/>
          <w:rtl/>
        </w:rPr>
      </w:pPr>
      <w:r w:rsidRPr="00263D8F">
        <w:rPr>
          <w:rFonts w:ascii="Traditional Arabic" w:eastAsia="Times New Roman" w:hAnsi="Traditional Arabic" w:cs="Traditional Arabic" w:hint="cs"/>
          <w:b/>
          <w:bCs/>
          <w:color w:val="222222"/>
          <w:sz w:val="45"/>
          <w:szCs w:val="45"/>
          <w:u w:val="single"/>
          <w:rtl/>
        </w:rPr>
        <w:t>المتجهات</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في الرياضيات، وبشكل خاص في التحليل الاتجاهي، </w:t>
      </w:r>
      <w:proofErr w:type="gramStart"/>
      <w:r w:rsidRPr="00263D8F">
        <w:rPr>
          <w:rFonts w:ascii="Traditional Arabic" w:eastAsia="Times New Roman" w:hAnsi="Traditional Arabic" w:cs="Traditional Arabic"/>
          <w:color w:val="222222"/>
          <w:sz w:val="35"/>
          <w:szCs w:val="35"/>
          <w:rtl/>
        </w:rPr>
        <w:t>المُتّجِه</w:t>
      </w:r>
      <w:r>
        <w:rPr>
          <w:rFonts w:ascii="Traditional Arabic" w:eastAsia="Times New Roman" w:hAnsi="Traditional Arabic" w:cs="Traditional Arabic"/>
          <w:color w:val="222222"/>
          <w:sz w:val="35"/>
          <w:szCs w:val="35"/>
          <w:rtl/>
        </w:rPr>
        <w:t xml:space="preserve"> </w:t>
      </w:r>
      <w:r w:rsidRPr="00263D8F">
        <w:rPr>
          <w:rFonts w:ascii="Traditional Arabic" w:eastAsia="Times New Roman" w:hAnsi="Traditional Arabic" w:cs="Traditional Arabic"/>
          <w:color w:val="222222"/>
          <w:sz w:val="35"/>
          <w:szCs w:val="35"/>
          <w:rtl/>
        </w:rPr>
        <w:t xml:space="preserve"> (</w:t>
      </w:r>
      <w:proofErr w:type="gramEnd"/>
      <w:r w:rsidRPr="00263D8F">
        <w:rPr>
          <w:rFonts w:ascii="Traditional Arabic" w:eastAsia="Times New Roman" w:hAnsi="Traditional Arabic" w:cs="Traditional Arabic"/>
          <w:color w:val="222222"/>
          <w:sz w:val="35"/>
          <w:szCs w:val="35"/>
          <w:rtl/>
        </w:rPr>
        <w:t xml:space="preserve">بالإنجليزية: </w:t>
      </w:r>
      <w:r w:rsidRPr="00263D8F">
        <w:rPr>
          <w:rFonts w:ascii="Traditional Arabic" w:eastAsia="Times New Roman" w:hAnsi="Traditional Arabic" w:cs="Traditional Arabic"/>
          <w:color w:val="222222"/>
          <w:sz w:val="35"/>
          <w:szCs w:val="35"/>
        </w:rPr>
        <w:t>Vector</w:t>
      </w:r>
      <w:r w:rsidRPr="00263D8F">
        <w:rPr>
          <w:rFonts w:ascii="Traditional Arabic" w:eastAsia="Times New Roman" w:hAnsi="Traditional Arabic" w:cs="Traditional Arabic"/>
          <w:color w:val="222222"/>
          <w:sz w:val="35"/>
          <w:szCs w:val="35"/>
          <w:rtl/>
        </w:rPr>
        <w:t xml:space="preserve">) هو سهم يتجه من نقطة إلى أخرى. يتحدد كل متجه في الرياضيات بثلاثة </w:t>
      </w:r>
      <w:proofErr w:type="gramStart"/>
      <w:r w:rsidRPr="00263D8F">
        <w:rPr>
          <w:rFonts w:ascii="Traditional Arabic" w:eastAsia="Times New Roman" w:hAnsi="Traditional Arabic" w:cs="Traditional Arabic"/>
          <w:color w:val="222222"/>
          <w:sz w:val="35"/>
          <w:szCs w:val="35"/>
          <w:rtl/>
        </w:rPr>
        <w:t>عناصر :</w:t>
      </w:r>
      <w:proofErr w:type="gramEnd"/>
      <w:r w:rsidRPr="00263D8F">
        <w:rPr>
          <w:rFonts w:ascii="Traditional Arabic" w:eastAsia="Times New Roman" w:hAnsi="Traditional Arabic" w:cs="Traditional Arabic"/>
          <w:color w:val="222222"/>
          <w:sz w:val="35"/>
          <w:szCs w:val="35"/>
          <w:rtl/>
        </w:rPr>
        <w:t xml:space="preserve"> المقدار وهو كمية قياسية تُمَثًّل بطول المتجه، الاتجاه يمكن تحديده في فضاء ثلاثي الأبعاد عن طريق زوايا </w:t>
      </w:r>
      <w:proofErr w:type="spellStart"/>
      <w:r w:rsidRPr="00263D8F">
        <w:rPr>
          <w:rFonts w:ascii="Traditional Arabic" w:eastAsia="Times New Roman" w:hAnsi="Traditional Arabic" w:cs="Traditional Arabic"/>
          <w:color w:val="222222"/>
          <w:sz w:val="35"/>
          <w:szCs w:val="35"/>
          <w:rtl/>
        </w:rPr>
        <w:t>اويلر</w:t>
      </w:r>
      <w:proofErr w:type="spellEnd"/>
      <w:r w:rsidRPr="00263D8F">
        <w:rPr>
          <w:rFonts w:ascii="Traditional Arabic" w:eastAsia="Times New Roman" w:hAnsi="Traditional Arabic" w:cs="Traditional Arabic"/>
          <w:color w:val="222222"/>
          <w:sz w:val="35"/>
          <w:szCs w:val="35"/>
          <w:rtl/>
        </w:rPr>
        <w:t>، و نقطة التأثير وهي النقطة التي ينطلق منها المتجه [بحاجة لمصدر]. ومع أن المتجه يوصف بدلالة أرقام بعضها تعتمد على نوع جملة الإحداثيات، إلا أنه لا يعتمد على جملة الإحداثيات.</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المثال المشهور للمتجه هو القوة الفيزيائية، فإن له مقدارًا واتجاهًا في فضاء ثلاثي الأبعاد ونقطة تأثير، كما تتبع قاعدة جمع المتجهات (حسب قاعدة متوازي الأضلاع) عندما نريد جمع قوى متعددة.</w:t>
      </w:r>
    </w:p>
    <w:p w:rsidR="00263D8F" w:rsidRPr="00263D8F" w:rsidRDefault="00263D8F" w:rsidP="00263D8F">
      <w:pPr>
        <w:jc w:val="lowKashida"/>
        <w:rPr>
          <w:rFonts w:ascii="Traditional Arabic" w:eastAsia="Times New Roman" w:hAnsi="Traditional Arabic" w:cs="Traditional Arabic"/>
          <w:b/>
          <w:bCs/>
          <w:color w:val="222222"/>
          <w:sz w:val="35"/>
          <w:szCs w:val="35"/>
        </w:rPr>
      </w:pPr>
      <w:r w:rsidRPr="00263D8F">
        <w:rPr>
          <w:rFonts w:ascii="Traditional Arabic" w:eastAsia="Times New Roman" w:hAnsi="Traditional Arabic" w:cs="Traditional Arabic"/>
          <w:b/>
          <w:bCs/>
          <w:color w:val="222222"/>
          <w:sz w:val="35"/>
          <w:szCs w:val="35"/>
          <w:rtl/>
        </w:rPr>
        <w:t>تمثيل المتجهات</w:t>
      </w:r>
      <w:r w:rsidRPr="00263D8F">
        <w:rPr>
          <w:rFonts w:ascii="Traditional Arabic" w:eastAsia="Times New Roman" w:hAnsi="Traditional Arabic" w:cs="Traditional Arabic"/>
          <w:color w:val="222222"/>
          <w:sz w:val="35"/>
          <w:szCs w:val="35"/>
          <w:rtl/>
        </w:rPr>
        <w:t xml:space="preserve">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سهم المتجه من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إلى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يشار إلى المتجهات عادة بحروف صغيرة ثخينة، مثل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أو مائلة أيضا مثل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(تمثل الحروف الكبيرة عادة المصفوفات). كما يصطلح على كتابتها   أو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عند كتابتها باليد. إذا كان المتجه يمثل إزاحة من النقطة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إلى النقطة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كما في الشكل، يرمز عندها له بـ   أو </w:t>
      </w:r>
      <w:r w:rsidRPr="00263D8F">
        <w:rPr>
          <w:rFonts w:ascii="Traditional Arabic" w:eastAsia="Times New Roman" w:hAnsi="Traditional Arabic" w:cs="Traditional Arabic"/>
          <w:color w:val="222222"/>
          <w:sz w:val="35"/>
          <w:szCs w:val="35"/>
        </w:rPr>
        <w:t>AB</w:t>
      </w:r>
      <w:r w:rsidRPr="00263D8F">
        <w:rPr>
          <w:rFonts w:ascii="Traditional Arabic" w:eastAsia="Times New Roman" w:hAnsi="Traditional Arabic" w:cs="Traditional Arabic"/>
          <w:color w:val="222222"/>
          <w:sz w:val="35"/>
          <w:szCs w:val="35"/>
          <w:rtl/>
        </w:rPr>
        <w:t xml:space="preserve">. يستخدم رمز القبعة (^) للإشارة إلى متجهات الوحدة، كما </w:t>
      </w:r>
      <w:proofErr w:type="gramStart"/>
      <w:r w:rsidRPr="00263D8F">
        <w:rPr>
          <w:rFonts w:ascii="Traditional Arabic" w:eastAsia="Times New Roman" w:hAnsi="Traditional Arabic" w:cs="Traditional Arabic"/>
          <w:color w:val="222222"/>
          <w:sz w:val="35"/>
          <w:szCs w:val="35"/>
          <w:rtl/>
        </w:rPr>
        <w:t>في  .</w:t>
      </w:r>
      <w:proofErr w:type="gramEnd"/>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للقوة متجه طوله يبين مقدارها واتجاه المتجه تمثل </w:t>
      </w:r>
      <w:proofErr w:type="spellStart"/>
      <w:r w:rsidRPr="00263D8F">
        <w:rPr>
          <w:rFonts w:ascii="Traditional Arabic" w:eastAsia="Times New Roman" w:hAnsi="Traditional Arabic" w:cs="Traditional Arabic"/>
          <w:color w:val="222222"/>
          <w:sz w:val="35"/>
          <w:szCs w:val="35"/>
          <w:rtl/>
        </w:rPr>
        <w:t>إتجاه</w:t>
      </w:r>
      <w:proofErr w:type="spellEnd"/>
      <w:r w:rsidRPr="00263D8F">
        <w:rPr>
          <w:rFonts w:ascii="Traditional Arabic" w:eastAsia="Times New Roman" w:hAnsi="Traditional Arabic" w:cs="Traditional Arabic"/>
          <w:color w:val="222222"/>
          <w:sz w:val="35"/>
          <w:szCs w:val="35"/>
          <w:rtl/>
        </w:rPr>
        <w:t xml:space="preserve"> القوة.</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تظهر المتجهات في المخططات والرسومات كأسهم (قطع مستقيمة موجهة)، كما هو موضح في الشكل. تسمى هنا النقطة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المبدأ، وتسمى النقطة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الرأس. يتناسب طول السهم مع </w:t>
      </w:r>
      <w:proofErr w:type="spellStart"/>
      <w:r w:rsidRPr="00263D8F">
        <w:rPr>
          <w:rFonts w:ascii="Traditional Arabic" w:eastAsia="Times New Roman" w:hAnsi="Traditional Arabic" w:cs="Traditional Arabic"/>
          <w:color w:val="222222"/>
          <w:sz w:val="35"/>
          <w:szCs w:val="35"/>
          <w:rtl/>
        </w:rPr>
        <w:t>مقدارالمتجه</w:t>
      </w:r>
      <w:proofErr w:type="spellEnd"/>
      <w:r w:rsidRPr="00263D8F">
        <w:rPr>
          <w:rFonts w:ascii="Traditional Arabic" w:eastAsia="Times New Roman" w:hAnsi="Traditional Arabic" w:cs="Traditional Arabic"/>
          <w:color w:val="222222"/>
          <w:sz w:val="35"/>
          <w:szCs w:val="35"/>
          <w:rtl/>
        </w:rPr>
        <w:t>، بينما يشير اتجاه السهم إلى اتجاه المتجه.</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lastRenderedPageBreak/>
        <w:t>ونحتاج في المخططات ثنائية البعد إلى ترميز المتجه بدوائر صغيرة (كما في الشكل جانبا)، حيث تكون بعض المتجهات عمودية على مستوي المخطط. يرمز للمتجه بنقطة داخل دائرة صغيرة عندما يكون المتجه متجها خارج المخطط باتجاه المشاهد. بينما يرمز له بدائرة مرسوم في داخلها إشارة الضرب عندما يكون المتجه متجها إلى داخل المخطط. ويمكن تذكرها باعتبار النقطة هي منظر لرأس السهم، وإشارة الضرب هي منظر لذيل السهم (الريشة).</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قد يكون التمثيل البياني من أجل حساب المتجهات متعبًا ومعقدًا. فالمتجهات في الفضاء </w:t>
      </w:r>
      <w:proofErr w:type="spellStart"/>
      <w:r w:rsidRPr="00263D8F">
        <w:rPr>
          <w:rFonts w:ascii="Traditional Arabic" w:eastAsia="Times New Roman" w:hAnsi="Traditional Arabic" w:cs="Traditional Arabic"/>
          <w:color w:val="222222"/>
          <w:sz w:val="35"/>
          <w:szCs w:val="35"/>
          <w:rtl/>
        </w:rPr>
        <w:t>الإقليدي</w:t>
      </w:r>
      <w:proofErr w:type="spellEnd"/>
      <w:r w:rsidRPr="00263D8F">
        <w:rPr>
          <w:rFonts w:ascii="Traditional Arabic" w:eastAsia="Times New Roman" w:hAnsi="Traditional Arabic" w:cs="Traditional Arabic"/>
          <w:color w:val="222222"/>
          <w:sz w:val="35"/>
          <w:szCs w:val="35"/>
          <w:rtl/>
        </w:rPr>
        <w:t xml:space="preserve"> متعدد الأبعاد يمكن أن تمثل في نظام إحداثي ديكارتي. يمكن تعيين نهاية المتجه بوضعها في قائمة مرتبة من الأعداد الحقيقية.</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وكمثال في الفضاء ثنائي الأبعاد (الشكل جانبا)، يكتب المتجه من مبدأ الإحداثيات </w:t>
      </w:r>
      <w:r w:rsidRPr="00263D8F">
        <w:rPr>
          <w:rFonts w:ascii="Traditional Arabic" w:eastAsia="Times New Roman" w:hAnsi="Traditional Arabic" w:cs="Traditional Arabic"/>
          <w:color w:val="222222"/>
          <w:sz w:val="35"/>
          <w:szCs w:val="35"/>
        </w:rPr>
        <w:t>O = (0,0</w:t>
      </w:r>
      <w:r w:rsidRPr="00263D8F">
        <w:rPr>
          <w:rFonts w:ascii="Traditional Arabic" w:eastAsia="Times New Roman" w:hAnsi="Traditional Arabic" w:cs="Traditional Arabic"/>
          <w:color w:val="222222"/>
          <w:sz w:val="35"/>
          <w:szCs w:val="35"/>
          <w:rtl/>
        </w:rPr>
        <w:t xml:space="preserve">) إلى النقطة </w:t>
      </w:r>
      <w:r w:rsidRPr="00263D8F">
        <w:rPr>
          <w:rFonts w:ascii="Traditional Arabic" w:eastAsia="Times New Roman" w:hAnsi="Traditional Arabic" w:cs="Traditional Arabic"/>
          <w:color w:val="222222"/>
          <w:sz w:val="35"/>
          <w:szCs w:val="35"/>
        </w:rPr>
        <w:t>A = (2,3</w:t>
      </w:r>
      <w:r w:rsidRPr="00263D8F">
        <w:rPr>
          <w:rFonts w:ascii="Traditional Arabic" w:eastAsia="Times New Roman" w:hAnsi="Traditional Arabic" w:cs="Traditional Arabic"/>
          <w:color w:val="222222"/>
          <w:sz w:val="35"/>
          <w:szCs w:val="35"/>
          <w:rtl/>
        </w:rPr>
        <w:t>) بالشكل</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في الفضاء </w:t>
      </w:r>
      <w:proofErr w:type="spellStart"/>
      <w:r w:rsidRPr="00263D8F">
        <w:rPr>
          <w:rFonts w:ascii="Traditional Arabic" w:eastAsia="Times New Roman" w:hAnsi="Traditional Arabic" w:cs="Traditional Arabic"/>
          <w:color w:val="222222"/>
          <w:sz w:val="35"/>
          <w:szCs w:val="35"/>
          <w:rtl/>
        </w:rPr>
        <w:t>الإقليدي</w:t>
      </w:r>
      <w:proofErr w:type="spellEnd"/>
      <w:r w:rsidRPr="00263D8F">
        <w:rPr>
          <w:rFonts w:ascii="Traditional Arabic" w:eastAsia="Times New Roman" w:hAnsi="Traditional Arabic" w:cs="Traditional Arabic"/>
          <w:color w:val="222222"/>
          <w:sz w:val="35"/>
          <w:szCs w:val="35"/>
          <w:rtl/>
        </w:rPr>
        <w:t xml:space="preserve"> ثلاثي الأبعاد (</w:t>
      </w:r>
      <w:proofErr w:type="gramStart"/>
      <w:r w:rsidRPr="00263D8F">
        <w:rPr>
          <w:rFonts w:ascii="Traditional Arabic" w:eastAsia="Times New Roman" w:hAnsi="Traditional Arabic" w:cs="Traditional Arabic"/>
          <w:color w:val="222222"/>
          <w:sz w:val="35"/>
          <w:szCs w:val="35"/>
          <w:rtl/>
        </w:rPr>
        <w:t>أو  )</w:t>
      </w:r>
      <w:proofErr w:type="gramEnd"/>
      <w:r w:rsidRPr="00263D8F">
        <w:rPr>
          <w:rFonts w:ascii="Traditional Arabic" w:eastAsia="Times New Roman" w:hAnsi="Traditional Arabic" w:cs="Traditional Arabic"/>
          <w:color w:val="222222"/>
          <w:sz w:val="35"/>
          <w:szCs w:val="35"/>
          <w:rtl/>
        </w:rPr>
        <w:t xml:space="preserve">، تعرف المتجهات بثلاثة أرقام تمثل الإحداثيات </w:t>
      </w:r>
      <w:proofErr w:type="spellStart"/>
      <w:r w:rsidRPr="00263D8F">
        <w:rPr>
          <w:rFonts w:ascii="Traditional Arabic" w:eastAsia="Times New Roman" w:hAnsi="Traditional Arabic" w:cs="Traditional Arabic"/>
          <w:color w:val="222222"/>
          <w:sz w:val="35"/>
          <w:szCs w:val="35"/>
          <w:rtl/>
        </w:rPr>
        <w:t>الكارتيزية</w:t>
      </w:r>
      <w:proofErr w:type="spellEnd"/>
      <w:r w:rsidRPr="00263D8F">
        <w:rPr>
          <w:rFonts w:ascii="Traditional Arabic" w:eastAsia="Times New Roman" w:hAnsi="Traditional Arabic" w:cs="Traditional Arabic"/>
          <w:color w:val="222222"/>
          <w:sz w:val="35"/>
          <w:szCs w:val="35"/>
          <w:rtl/>
        </w:rPr>
        <w:t xml:space="preserve"> لنقطة النهاية (</w:t>
      </w:r>
      <w:proofErr w:type="spellStart"/>
      <w:r w:rsidRPr="00263D8F">
        <w:rPr>
          <w:rFonts w:ascii="Traditional Arabic" w:eastAsia="Times New Roman" w:hAnsi="Traditional Arabic" w:cs="Traditional Arabic"/>
          <w:color w:val="222222"/>
          <w:sz w:val="35"/>
          <w:szCs w:val="35"/>
        </w:rPr>
        <w:t>a,b,c</w:t>
      </w:r>
      <w:proofErr w:type="spellEnd"/>
      <w:r w:rsidRPr="00263D8F">
        <w:rPr>
          <w:rFonts w:ascii="Traditional Arabic" w:eastAsia="Times New Roman" w:hAnsi="Traditional Arabic" w:cs="Traditional Arabic"/>
          <w:color w:val="222222"/>
          <w:sz w:val="35"/>
          <w:szCs w:val="35"/>
          <w:rtl/>
        </w:rPr>
        <w:t>):</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في دروس الفيزياء التمهيدية، تستبدل هذه المتجهات الثلاث بـ</w:t>
      </w:r>
      <w:proofErr w:type="gramStart"/>
      <w:r w:rsidRPr="00263D8F">
        <w:rPr>
          <w:rFonts w:ascii="Traditional Arabic" w:eastAsia="Times New Roman" w:hAnsi="Traditional Arabic" w:cs="Traditional Arabic"/>
          <w:color w:val="222222"/>
          <w:sz w:val="35"/>
          <w:szCs w:val="35"/>
          <w:rtl/>
        </w:rPr>
        <w:t xml:space="preserve">   (</w:t>
      </w:r>
      <w:proofErr w:type="gramEnd"/>
      <w:r w:rsidRPr="00263D8F">
        <w:rPr>
          <w:rFonts w:ascii="Traditional Arabic" w:eastAsia="Times New Roman" w:hAnsi="Traditional Arabic" w:cs="Traditional Arabic"/>
          <w:color w:val="222222"/>
          <w:sz w:val="35"/>
          <w:szCs w:val="35"/>
          <w:rtl/>
        </w:rPr>
        <w:t>أو  )، ولكن تعارض هذه التسمية مع دليل الترميز (</w:t>
      </w:r>
      <w:r w:rsidRPr="00263D8F">
        <w:rPr>
          <w:rFonts w:ascii="Traditional Arabic" w:eastAsia="Times New Roman" w:hAnsi="Traditional Arabic" w:cs="Traditional Arabic"/>
          <w:color w:val="222222"/>
          <w:sz w:val="35"/>
          <w:szCs w:val="35"/>
        </w:rPr>
        <w:t>Index notation</w:t>
      </w:r>
      <w:r w:rsidRPr="00263D8F">
        <w:rPr>
          <w:rFonts w:ascii="Traditional Arabic" w:eastAsia="Times New Roman" w:hAnsi="Traditional Arabic" w:cs="Traditional Arabic"/>
          <w:color w:val="222222"/>
          <w:sz w:val="35"/>
          <w:szCs w:val="35"/>
          <w:rtl/>
        </w:rPr>
        <w:t>) واصطلاح تجميع (</w:t>
      </w:r>
      <w:r w:rsidRPr="00263D8F">
        <w:rPr>
          <w:rFonts w:ascii="Traditional Arabic" w:eastAsia="Times New Roman" w:hAnsi="Traditional Arabic" w:cs="Traditional Arabic"/>
          <w:color w:val="222222"/>
          <w:sz w:val="35"/>
          <w:szCs w:val="35"/>
        </w:rPr>
        <w:t>summation convention</w:t>
      </w:r>
      <w:r w:rsidRPr="00263D8F">
        <w:rPr>
          <w:rFonts w:ascii="Traditional Arabic" w:eastAsia="Times New Roman" w:hAnsi="Traditional Arabic" w:cs="Traditional Arabic"/>
          <w:color w:val="222222"/>
          <w:sz w:val="35"/>
          <w:szCs w:val="35"/>
          <w:rtl/>
        </w:rPr>
        <w:t>) المستخدمين في المستويات المتقدمة في الرياضيات، والفيزياء والهندسة.</w:t>
      </w:r>
    </w:p>
    <w:p w:rsidR="00263D8F" w:rsidRPr="00263D8F" w:rsidRDefault="00263D8F" w:rsidP="00263D8F">
      <w:pPr>
        <w:jc w:val="lowKashida"/>
        <w:rPr>
          <w:rFonts w:ascii="Traditional Arabic" w:eastAsia="Times New Roman" w:hAnsi="Traditional Arabic" w:cs="Traditional Arabic"/>
          <w:b/>
          <w:bCs/>
          <w:color w:val="222222"/>
          <w:sz w:val="35"/>
          <w:szCs w:val="35"/>
        </w:rPr>
      </w:pPr>
      <w:r w:rsidRPr="00263D8F">
        <w:rPr>
          <w:rFonts w:ascii="Traditional Arabic" w:eastAsia="Times New Roman" w:hAnsi="Traditional Arabic" w:cs="Traditional Arabic"/>
          <w:b/>
          <w:bCs/>
          <w:color w:val="222222"/>
          <w:sz w:val="35"/>
          <w:szCs w:val="35"/>
          <w:rtl/>
        </w:rPr>
        <w:t>خصائص أساسية</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المقطع التالي يستخدم نظام إحداثي ديكارتي مع متجهات وحدة أساسية</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ويفترض أن جميع المتجهات تبدأ من مركز الإحداثيات </w:t>
      </w:r>
      <w:r w:rsidRPr="00263D8F">
        <w:rPr>
          <w:rFonts w:ascii="Traditional Arabic" w:eastAsia="Times New Roman" w:hAnsi="Traditional Arabic" w:cs="Traditional Arabic"/>
          <w:color w:val="222222"/>
          <w:sz w:val="35"/>
          <w:szCs w:val="35"/>
        </w:rPr>
        <w:t>O</w:t>
      </w:r>
      <w:r w:rsidRPr="00263D8F">
        <w:rPr>
          <w:rFonts w:ascii="Traditional Arabic" w:eastAsia="Times New Roman" w:hAnsi="Traditional Arabic" w:cs="Traditional Arabic"/>
          <w:color w:val="222222"/>
          <w:sz w:val="35"/>
          <w:szCs w:val="35"/>
          <w:rtl/>
        </w:rPr>
        <w:t xml:space="preserve">. وتعني كل </w:t>
      </w:r>
      <w:proofErr w:type="gramStart"/>
      <w:r w:rsidRPr="00263D8F">
        <w:rPr>
          <w:rFonts w:ascii="Traditional Arabic" w:eastAsia="Times New Roman" w:hAnsi="Traditional Arabic" w:cs="Traditional Arabic"/>
          <w:color w:val="222222"/>
          <w:sz w:val="35"/>
          <w:szCs w:val="35"/>
          <w:rtl/>
        </w:rPr>
        <w:t>من :</w:t>
      </w:r>
      <w:proofErr w:type="gramEnd"/>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  وحدة متجه في اتجاه المحور </w:t>
      </w:r>
      <w:r w:rsidRPr="00263D8F">
        <w:rPr>
          <w:rFonts w:ascii="Traditional Arabic" w:eastAsia="Times New Roman" w:hAnsi="Traditional Arabic" w:cs="Traditional Arabic"/>
          <w:color w:val="222222"/>
          <w:sz w:val="35"/>
          <w:szCs w:val="35"/>
        </w:rPr>
        <w:t>x</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  وحدة المتجه في اتجاه المحور </w:t>
      </w:r>
      <w:r w:rsidRPr="00263D8F">
        <w:rPr>
          <w:rFonts w:ascii="Traditional Arabic" w:eastAsia="Times New Roman" w:hAnsi="Traditional Arabic" w:cs="Traditional Arabic"/>
          <w:color w:val="222222"/>
          <w:sz w:val="35"/>
          <w:szCs w:val="35"/>
        </w:rPr>
        <w:t>y</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  وحدة المتجه في اتجاه المحور </w:t>
      </w:r>
      <w:r w:rsidRPr="00263D8F">
        <w:rPr>
          <w:rFonts w:ascii="Traditional Arabic" w:eastAsia="Times New Roman" w:hAnsi="Traditional Arabic" w:cs="Traditional Arabic"/>
          <w:color w:val="222222"/>
          <w:sz w:val="35"/>
          <w:szCs w:val="35"/>
        </w:rPr>
        <w:t>z</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lastRenderedPageBreak/>
        <w:t>وتستخدم الإحداثيات (1,0,</w:t>
      </w:r>
      <w:proofErr w:type="gramStart"/>
      <w:r w:rsidRPr="00263D8F">
        <w:rPr>
          <w:rFonts w:ascii="Traditional Arabic" w:eastAsia="Times New Roman" w:hAnsi="Traditional Arabic" w:cs="Traditional Arabic"/>
          <w:color w:val="222222"/>
          <w:sz w:val="35"/>
          <w:szCs w:val="35"/>
          <w:rtl/>
        </w:rPr>
        <w:t>0 )</w:t>
      </w:r>
      <w:proofErr w:type="gramEnd"/>
      <w:r w:rsidRPr="00263D8F">
        <w:rPr>
          <w:rFonts w:ascii="Traditional Arabic" w:eastAsia="Times New Roman" w:hAnsi="Traditional Arabic" w:cs="Traditional Arabic"/>
          <w:color w:val="222222"/>
          <w:sz w:val="35"/>
          <w:szCs w:val="35"/>
          <w:rtl/>
        </w:rPr>
        <w:t xml:space="preserve"> , (0,1,0 ) , (0,0,1 ) بصفة أساسية مع البلورات ، في وصفها وحساباتها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يكتب المتجه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على الوجه التالي:</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(يمكن تخيل المتجه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يبدأ من ركن في بلورة مكعبة أو متوازية الأضلاع وينتهي في ركن </w:t>
      </w:r>
      <w:proofErr w:type="gramStart"/>
      <w:r w:rsidRPr="00263D8F">
        <w:rPr>
          <w:rFonts w:ascii="Traditional Arabic" w:eastAsia="Times New Roman" w:hAnsi="Traditional Arabic" w:cs="Traditional Arabic"/>
          <w:color w:val="222222"/>
          <w:sz w:val="35"/>
          <w:szCs w:val="35"/>
          <w:rtl/>
        </w:rPr>
        <w:t>آخر .</w:t>
      </w:r>
      <w:proofErr w:type="gramEnd"/>
      <w:r w:rsidRPr="00263D8F">
        <w:rPr>
          <w:rFonts w:ascii="Traditional Arabic" w:eastAsia="Times New Roman" w:hAnsi="Traditional Arabic" w:cs="Traditional Arabic"/>
          <w:color w:val="222222"/>
          <w:sz w:val="35"/>
          <w:szCs w:val="35"/>
          <w:rtl/>
        </w:rPr>
        <w:t xml:space="preserve"> أو أن يبدأ في نظام إحداثي كروي من المركز وينتهي عند تقابله بسطح </w:t>
      </w:r>
      <w:proofErr w:type="gramStart"/>
      <w:r w:rsidRPr="00263D8F">
        <w:rPr>
          <w:rFonts w:ascii="Traditional Arabic" w:eastAsia="Times New Roman" w:hAnsi="Traditional Arabic" w:cs="Traditional Arabic"/>
          <w:color w:val="222222"/>
          <w:sz w:val="35"/>
          <w:szCs w:val="35"/>
          <w:rtl/>
        </w:rPr>
        <w:t>الكرة )</w:t>
      </w:r>
      <w:proofErr w:type="gramEnd"/>
      <w:r w:rsidRPr="00263D8F">
        <w:rPr>
          <w:rFonts w:ascii="Traditional Arabic" w:eastAsia="Times New Roman" w:hAnsi="Traditional Arabic" w:cs="Traditional Arabic"/>
          <w:color w:val="222222"/>
          <w:sz w:val="35"/>
          <w:szCs w:val="35"/>
          <w:rtl/>
        </w:rPr>
        <w:t>.</w:t>
      </w:r>
    </w:p>
    <w:p w:rsidR="00263D8F" w:rsidRPr="00263D8F" w:rsidRDefault="00263D8F" w:rsidP="00263D8F">
      <w:pPr>
        <w:jc w:val="lowKashida"/>
        <w:rPr>
          <w:rFonts w:ascii="Traditional Arabic" w:eastAsia="Times New Roman" w:hAnsi="Traditional Arabic" w:cs="Traditional Arabic"/>
          <w:b/>
          <w:bCs/>
          <w:color w:val="222222"/>
          <w:sz w:val="35"/>
          <w:szCs w:val="35"/>
        </w:rPr>
      </w:pPr>
      <w:r w:rsidRPr="00263D8F">
        <w:rPr>
          <w:rFonts w:ascii="Traditional Arabic" w:eastAsia="Times New Roman" w:hAnsi="Traditional Arabic" w:cs="Traditional Arabic"/>
          <w:b/>
          <w:bCs/>
          <w:color w:val="222222"/>
          <w:sz w:val="35"/>
          <w:szCs w:val="35"/>
          <w:rtl/>
        </w:rPr>
        <w:t>تساوي المتجهات</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يقال عن متجهين أنهما متساويان إذا كان لهما نفس المقدار ونفس الاتجاه. وعلى هذا الوجه تكون المتجهات متساوية إذا تساوت إحداثياتها. فالمتجهين:</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و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متساويين إذا تحقق</w:t>
      </w:r>
    </w:p>
    <w:p w:rsidR="00263D8F" w:rsidRPr="00263D8F" w:rsidRDefault="00263D8F" w:rsidP="00263D8F">
      <w:pPr>
        <w:jc w:val="lowKashida"/>
        <w:rPr>
          <w:rFonts w:ascii="Traditional Arabic" w:eastAsia="Times New Roman" w:hAnsi="Traditional Arabic" w:cs="Traditional Arabic"/>
          <w:b/>
          <w:bCs/>
          <w:color w:val="222222"/>
          <w:sz w:val="35"/>
          <w:szCs w:val="35"/>
        </w:rPr>
      </w:pPr>
      <w:r w:rsidRPr="00263D8F">
        <w:rPr>
          <w:rFonts w:ascii="Traditional Arabic" w:eastAsia="Times New Roman" w:hAnsi="Traditional Arabic" w:cs="Traditional Arabic"/>
          <w:b/>
          <w:bCs/>
          <w:color w:val="222222"/>
          <w:sz w:val="35"/>
          <w:szCs w:val="35"/>
          <w:rtl/>
        </w:rPr>
        <w:t>جمع المتجهات وطرحها</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ليكن </w:t>
      </w:r>
      <w:r w:rsidRPr="00263D8F">
        <w:rPr>
          <w:rFonts w:ascii="Traditional Arabic" w:eastAsia="Times New Roman" w:hAnsi="Traditional Arabic" w:cs="Traditional Arabic"/>
          <w:color w:val="222222"/>
          <w:sz w:val="35"/>
          <w:szCs w:val="35"/>
        </w:rPr>
        <w:t>a</w:t>
      </w:r>
      <w:proofErr w:type="gramStart"/>
      <w:r w:rsidRPr="00263D8F">
        <w:rPr>
          <w:rFonts w:ascii="Traditional Arabic" w:eastAsia="Times New Roman" w:hAnsi="Traditional Arabic" w:cs="Traditional Arabic"/>
          <w:color w:val="222222"/>
          <w:sz w:val="35"/>
          <w:szCs w:val="35"/>
        </w:rPr>
        <w:t xml:space="preserve"> ,</w:t>
      </w:r>
      <w:proofErr w:type="gramEnd"/>
      <w:r w:rsidRPr="00263D8F">
        <w:rPr>
          <w:rFonts w:ascii="Traditional Arabic" w:eastAsia="Times New Roman" w:hAnsi="Traditional Arabic" w:cs="Traditional Arabic"/>
          <w:color w:val="222222"/>
          <w:sz w:val="35"/>
          <w:szCs w:val="35"/>
        </w:rPr>
        <w:t xml:space="preserve"> b</w:t>
      </w:r>
      <w:r w:rsidRPr="00263D8F">
        <w:rPr>
          <w:rFonts w:ascii="Traditional Arabic" w:eastAsia="Times New Roman" w:hAnsi="Traditional Arabic" w:cs="Traditional Arabic"/>
          <w:color w:val="222222"/>
          <w:sz w:val="35"/>
          <w:szCs w:val="35"/>
          <w:rtl/>
        </w:rPr>
        <w:t xml:space="preserve"> متجهين في نفس الاتجاه ، فيكون مجموعهما بافتراض تساويهما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Pr>
        <w:t>a + a = 2a</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وفي حالة </w:t>
      </w:r>
      <w:proofErr w:type="gramStart"/>
      <w:r w:rsidRPr="00263D8F">
        <w:rPr>
          <w:rFonts w:ascii="Traditional Arabic" w:eastAsia="Times New Roman" w:hAnsi="Traditional Arabic" w:cs="Traditional Arabic"/>
          <w:color w:val="222222"/>
          <w:sz w:val="35"/>
          <w:szCs w:val="35"/>
          <w:rtl/>
        </w:rPr>
        <w:t>تضادهما :</w:t>
      </w:r>
      <w:proofErr w:type="gramEnd"/>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Pr>
        <w:t>a - a = 0</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وفي حالة أخرى مع اعتبار مركباتها نفترض </w:t>
      </w:r>
      <w:proofErr w:type="gramStart"/>
      <w:r w:rsidRPr="00263D8F">
        <w:rPr>
          <w:rFonts w:ascii="Traditional Arabic" w:eastAsia="Times New Roman" w:hAnsi="Traditional Arabic" w:cs="Traditional Arabic"/>
          <w:color w:val="222222"/>
          <w:sz w:val="35"/>
          <w:szCs w:val="35"/>
          <w:rtl/>
        </w:rPr>
        <w:t>أن :</w:t>
      </w:r>
      <w:proofErr w:type="gramEnd"/>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Pr>
        <w:t>a=a1e1 + a2e2 + a3e3</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و</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Pr>
        <w:t>b=b1e1 + b2e2 + b3e3</w:t>
      </w:r>
      <w:r w:rsidRPr="00263D8F">
        <w:rPr>
          <w:rFonts w:ascii="Traditional Arabic" w:eastAsia="Times New Roman" w:hAnsi="Traditional Arabic" w:cs="Traditional Arabic"/>
          <w:color w:val="222222"/>
          <w:sz w:val="35"/>
          <w:szCs w:val="35"/>
          <w:rtl/>
        </w:rPr>
        <w:t>,</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حيث</w:t>
      </w:r>
      <w:r w:rsidRPr="00263D8F">
        <w:rPr>
          <w:rFonts w:ascii="Traditional Arabic" w:eastAsia="Times New Roman" w:hAnsi="Traditional Arabic" w:cs="Traditional Arabic"/>
          <w:color w:val="222222"/>
          <w:sz w:val="35"/>
          <w:szCs w:val="35"/>
        </w:rPr>
        <w:t>e</w:t>
      </w:r>
      <w:proofErr w:type="gramStart"/>
      <w:r w:rsidRPr="00263D8F">
        <w:rPr>
          <w:rFonts w:ascii="Traditional Arabic" w:eastAsia="Times New Roman" w:hAnsi="Traditional Arabic" w:cs="Traditional Arabic"/>
          <w:color w:val="222222"/>
          <w:sz w:val="35"/>
          <w:szCs w:val="35"/>
        </w:rPr>
        <w:t>1</w:t>
      </w:r>
      <w:r w:rsidRPr="00263D8F">
        <w:rPr>
          <w:rFonts w:ascii="Traditional Arabic" w:eastAsia="Times New Roman" w:hAnsi="Traditional Arabic" w:cs="Traditional Arabic"/>
          <w:color w:val="222222"/>
          <w:sz w:val="35"/>
          <w:szCs w:val="35"/>
          <w:rtl/>
        </w:rPr>
        <w:t>،</w:t>
      </w:r>
      <w:r w:rsidRPr="00263D8F">
        <w:rPr>
          <w:rFonts w:ascii="Traditional Arabic" w:eastAsia="Times New Roman" w:hAnsi="Traditional Arabic" w:cs="Traditional Arabic"/>
          <w:color w:val="222222"/>
          <w:sz w:val="35"/>
          <w:szCs w:val="35"/>
        </w:rPr>
        <w:t>e</w:t>
      </w:r>
      <w:proofErr w:type="gramEnd"/>
      <w:r w:rsidRPr="00263D8F">
        <w:rPr>
          <w:rFonts w:ascii="Traditional Arabic" w:eastAsia="Times New Roman" w:hAnsi="Traditional Arabic" w:cs="Traditional Arabic"/>
          <w:color w:val="222222"/>
          <w:sz w:val="35"/>
          <w:szCs w:val="35"/>
        </w:rPr>
        <w:t>2</w:t>
      </w:r>
      <w:r w:rsidRPr="00263D8F">
        <w:rPr>
          <w:rFonts w:ascii="Traditional Arabic" w:eastAsia="Times New Roman" w:hAnsi="Traditional Arabic" w:cs="Traditional Arabic"/>
          <w:color w:val="222222"/>
          <w:sz w:val="35"/>
          <w:szCs w:val="35"/>
          <w:rtl/>
        </w:rPr>
        <w:t xml:space="preserve">، </w:t>
      </w:r>
      <w:r w:rsidRPr="00263D8F">
        <w:rPr>
          <w:rFonts w:ascii="Traditional Arabic" w:eastAsia="Times New Roman" w:hAnsi="Traditional Arabic" w:cs="Traditional Arabic"/>
          <w:color w:val="222222"/>
          <w:sz w:val="35"/>
          <w:szCs w:val="35"/>
        </w:rPr>
        <w:t>e3</w:t>
      </w:r>
      <w:r w:rsidRPr="00263D8F">
        <w:rPr>
          <w:rFonts w:ascii="Traditional Arabic" w:eastAsia="Times New Roman" w:hAnsi="Traditional Arabic" w:cs="Traditional Arabic"/>
          <w:color w:val="222222"/>
          <w:sz w:val="35"/>
          <w:szCs w:val="35"/>
          <w:rtl/>
        </w:rPr>
        <w:t xml:space="preserve"> هي متجهات الوحدة متعامدة.</w:t>
      </w:r>
    </w:p>
    <w:p w:rsidR="00263D8F" w:rsidRPr="00263D8F" w:rsidRDefault="00263D8F" w:rsidP="00263D8F">
      <w:pPr>
        <w:jc w:val="lowKashida"/>
        <w:rPr>
          <w:rFonts w:ascii="Traditional Arabic" w:eastAsia="Times New Roman" w:hAnsi="Traditional Arabic" w:cs="Traditional Arabic"/>
          <w:b/>
          <w:bCs/>
          <w:color w:val="222222"/>
          <w:sz w:val="35"/>
          <w:szCs w:val="35"/>
        </w:rPr>
      </w:pPr>
      <w:r w:rsidRPr="00263D8F">
        <w:rPr>
          <w:rFonts w:ascii="Traditional Arabic" w:eastAsia="Times New Roman" w:hAnsi="Traditional Arabic" w:cs="Traditional Arabic"/>
          <w:b/>
          <w:bCs/>
          <w:color w:val="222222"/>
          <w:sz w:val="35"/>
          <w:szCs w:val="35"/>
          <w:rtl/>
        </w:rPr>
        <w:lastRenderedPageBreak/>
        <w:t xml:space="preserve">ويمكن تمثيل جمع </w:t>
      </w:r>
      <w:proofErr w:type="spellStart"/>
      <w:r w:rsidRPr="00263D8F">
        <w:rPr>
          <w:rFonts w:ascii="Traditional Arabic" w:eastAsia="Times New Roman" w:hAnsi="Traditional Arabic" w:cs="Traditional Arabic"/>
          <w:b/>
          <w:bCs/>
          <w:color w:val="222222"/>
          <w:sz w:val="35"/>
          <w:szCs w:val="35"/>
          <w:rtl/>
        </w:rPr>
        <w:t>المتجاهات</w:t>
      </w:r>
      <w:proofErr w:type="spellEnd"/>
      <w:r w:rsidRPr="00263D8F">
        <w:rPr>
          <w:rFonts w:ascii="Traditional Arabic" w:eastAsia="Times New Roman" w:hAnsi="Traditional Arabic" w:cs="Traditional Arabic"/>
          <w:b/>
          <w:bCs/>
          <w:color w:val="222222"/>
          <w:sz w:val="35"/>
          <w:szCs w:val="35"/>
          <w:rtl/>
        </w:rPr>
        <w:t xml:space="preserve"> بشكل بياني:</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بوضع بداية المتجه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عند نهاية المتجه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ثم رسم متجه من بداية المتجه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إلى نهاية المتجه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يمثل المتجه الجديد المرسوم </w:t>
      </w:r>
      <w:r w:rsidRPr="00263D8F">
        <w:rPr>
          <w:rFonts w:ascii="Traditional Arabic" w:eastAsia="Times New Roman" w:hAnsi="Traditional Arabic" w:cs="Traditional Arabic"/>
          <w:color w:val="222222"/>
          <w:sz w:val="35"/>
          <w:szCs w:val="35"/>
        </w:rPr>
        <w:t>a + b</w:t>
      </w:r>
      <w:r w:rsidRPr="00263D8F">
        <w:rPr>
          <w:rFonts w:ascii="Traditional Arabic" w:eastAsia="Times New Roman" w:hAnsi="Traditional Arabic" w:cs="Traditional Arabic"/>
          <w:color w:val="222222"/>
          <w:sz w:val="35"/>
          <w:szCs w:val="35"/>
          <w:rtl/>
        </w:rPr>
        <w:t>، كما هو مبين في الشكل 2.</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تسمى طريقة الجمع هذه بقاعدة متوازي الأضلاع، لأن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و</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يشكلان أضلاع متوازي الأضلاع.</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طرح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و</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هو:</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يمكن تمثيل طرح المتجهات بيانيًا أيضًا كما يلي: لطرح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من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نضع نهاية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و</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عند نفس النقطة، ثم يرسم سهم من نهاية </w:t>
      </w:r>
      <w:r w:rsidRPr="00263D8F">
        <w:rPr>
          <w:rFonts w:ascii="Traditional Arabic" w:eastAsia="Times New Roman" w:hAnsi="Traditional Arabic" w:cs="Traditional Arabic"/>
          <w:color w:val="222222"/>
          <w:sz w:val="35"/>
          <w:szCs w:val="35"/>
        </w:rPr>
        <w:t>b</w:t>
      </w:r>
      <w:r w:rsidRPr="00263D8F">
        <w:rPr>
          <w:rFonts w:ascii="Traditional Arabic" w:eastAsia="Times New Roman" w:hAnsi="Traditional Arabic" w:cs="Traditional Arabic"/>
          <w:color w:val="222222"/>
          <w:sz w:val="35"/>
          <w:szCs w:val="35"/>
          <w:rtl/>
        </w:rPr>
        <w:t xml:space="preserve"> إلى نهاية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يمثل هذه المتجه الجديد </w:t>
      </w:r>
      <w:r w:rsidRPr="00263D8F">
        <w:rPr>
          <w:rFonts w:ascii="Traditional Arabic" w:eastAsia="Times New Roman" w:hAnsi="Traditional Arabic" w:cs="Traditional Arabic"/>
          <w:color w:val="222222"/>
          <w:sz w:val="35"/>
          <w:szCs w:val="35"/>
        </w:rPr>
        <w:t xml:space="preserve">a </w:t>
      </w:r>
      <w:r w:rsidRPr="00263D8F">
        <w:rPr>
          <w:rFonts w:ascii="Sakkal Majalla" w:eastAsia="Times New Roman" w:hAnsi="Sakkal Majalla" w:cs="Sakkal Majalla"/>
          <w:color w:val="222222"/>
          <w:sz w:val="35"/>
          <w:szCs w:val="35"/>
        </w:rPr>
        <w:t>−</w:t>
      </w:r>
      <w:r w:rsidRPr="00263D8F">
        <w:rPr>
          <w:rFonts w:ascii="Traditional Arabic" w:eastAsia="Times New Roman" w:hAnsi="Traditional Arabic" w:cs="Traditional Arabic"/>
          <w:color w:val="222222"/>
          <w:sz w:val="35"/>
          <w:szCs w:val="35"/>
        </w:rPr>
        <w:t xml:space="preserve"> b</w:t>
      </w:r>
      <w:r w:rsidRPr="00263D8F">
        <w:rPr>
          <w:rFonts w:ascii="Traditional Arabic" w:eastAsia="Times New Roman" w:hAnsi="Traditional Arabic" w:cs="Traditional Arabic"/>
          <w:color w:val="222222"/>
          <w:sz w:val="35"/>
          <w:szCs w:val="35"/>
          <w:rtl/>
        </w:rPr>
        <w:t>، كما هو موضح في الشكل 3.</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الشكل 3: طرح المتجهات </w:t>
      </w:r>
      <w:r w:rsidRPr="00263D8F">
        <w:rPr>
          <w:rFonts w:ascii="Traditional Arabic" w:eastAsia="Times New Roman" w:hAnsi="Traditional Arabic" w:cs="Traditional Arabic"/>
          <w:color w:val="222222"/>
          <w:sz w:val="35"/>
          <w:szCs w:val="35"/>
        </w:rPr>
        <w:t>a</w:t>
      </w:r>
      <w:r w:rsidRPr="00263D8F">
        <w:rPr>
          <w:rFonts w:ascii="Traditional Arabic" w:eastAsia="Times New Roman" w:hAnsi="Traditional Arabic" w:cs="Traditional Arabic"/>
          <w:color w:val="222222"/>
          <w:sz w:val="35"/>
          <w:szCs w:val="35"/>
          <w:rtl/>
        </w:rPr>
        <w:t xml:space="preserve"> و</w:t>
      </w:r>
      <w:r w:rsidRPr="00263D8F">
        <w:rPr>
          <w:rFonts w:ascii="Traditional Arabic" w:eastAsia="Times New Roman" w:hAnsi="Traditional Arabic" w:cs="Traditional Arabic"/>
          <w:color w:val="222222"/>
          <w:sz w:val="35"/>
          <w:szCs w:val="35"/>
        </w:rPr>
        <w:t>b</w:t>
      </w:r>
    </w:p>
    <w:p w:rsidR="00263D8F" w:rsidRPr="00263D8F" w:rsidRDefault="00263D8F" w:rsidP="00263D8F">
      <w:pPr>
        <w:jc w:val="lowKashida"/>
        <w:rPr>
          <w:rFonts w:ascii="Traditional Arabic" w:eastAsia="Times New Roman" w:hAnsi="Traditional Arabic" w:cs="Traditional Arabic"/>
          <w:b/>
          <w:bCs/>
          <w:color w:val="222222"/>
          <w:sz w:val="35"/>
          <w:szCs w:val="35"/>
        </w:rPr>
      </w:pPr>
      <w:r w:rsidRPr="00263D8F">
        <w:rPr>
          <w:rFonts w:ascii="Traditional Arabic" w:eastAsia="Times New Roman" w:hAnsi="Traditional Arabic" w:cs="Traditional Arabic"/>
          <w:b/>
          <w:bCs/>
          <w:color w:val="222222"/>
          <w:sz w:val="35"/>
          <w:szCs w:val="35"/>
          <w:rtl/>
        </w:rPr>
        <w:t>جمع متجهات</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محصلة متجهين متساويين ومتضادين تساوي </w:t>
      </w:r>
      <w:proofErr w:type="gramStart"/>
      <w:r w:rsidRPr="00263D8F">
        <w:rPr>
          <w:rFonts w:ascii="Traditional Arabic" w:eastAsia="Times New Roman" w:hAnsi="Traditional Arabic" w:cs="Traditional Arabic"/>
          <w:color w:val="222222"/>
          <w:sz w:val="35"/>
          <w:szCs w:val="35"/>
          <w:rtl/>
        </w:rPr>
        <w:t>صفرا .</w:t>
      </w:r>
      <w:proofErr w:type="gramEnd"/>
      <w:r w:rsidRPr="00263D8F">
        <w:rPr>
          <w:rFonts w:ascii="Traditional Arabic" w:eastAsia="Times New Roman" w:hAnsi="Traditional Arabic" w:cs="Traditional Arabic"/>
          <w:color w:val="222222"/>
          <w:sz w:val="35"/>
          <w:szCs w:val="35"/>
          <w:rtl/>
        </w:rPr>
        <w:t xml:space="preserve"> يمكن جمع المتجهات بطريقة متوازي أضلاع القوى الذي يتبع أحد قوانين الميكانيكا الذي ينص على أن:" إذا عملت قوتان في نقطة فيمكن أن يعبر عنهما بقوة واحدة." تسمى تلك القوة "محصلة". عمليا نقوم برسم متجهين للقوتين (أي نختار طول معين لكل </w:t>
      </w:r>
      <w:proofErr w:type="gramStart"/>
      <w:r w:rsidRPr="00263D8F">
        <w:rPr>
          <w:rFonts w:ascii="Traditional Arabic" w:eastAsia="Times New Roman" w:hAnsi="Traditional Arabic" w:cs="Traditional Arabic"/>
          <w:color w:val="222222"/>
          <w:sz w:val="35"/>
          <w:szCs w:val="35"/>
          <w:rtl/>
        </w:rPr>
        <w:t>منهما )</w:t>
      </w:r>
      <w:proofErr w:type="gramEnd"/>
      <w:r w:rsidRPr="00263D8F">
        <w:rPr>
          <w:rFonts w:ascii="Traditional Arabic" w:eastAsia="Times New Roman" w:hAnsi="Traditional Arabic" w:cs="Traditional Arabic"/>
          <w:color w:val="222222"/>
          <w:sz w:val="35"/>
          <w:szCs w:val="35"/>
          <w:rtl/>
        </w:rPr>
        <w:t xml:space="preserve"> ونمثل اتجاهيهما بسهمين . نرسم متوازيان للسهمين فيكمل تقاطعهما شكل متوازي الأضلاع. نرسم خط يبدأ من زاوية </w:t>
      </w:r>
      <w:proofErr w:type="spellStart"/>
      <w:r w:rsidRPr="00263D8F">
        <w:rPr>
          <w:rFonts w:ascii="Traditional Arabic" w:eastAsia="Times New Roman" w:hAnsi="Traditional Arabic" w:cs="Traditional Arabic"/>
          <w:color w:val="222222"/>
          <w:sz w:val="35"/>
          <w:szCs w:val="35"/>
          <w:rtl/>
        </w:rPr>
        <w:t>إلتقاء</w:t>
      </w:r>
      <w:proofErr w:type="spellEnd"/>
      <w:r w:rsidRPr="00263D8F">
        <w:rPr>
          <w:rFonts w:ascii="Traditional Arabic" w:eastAsia="Times New Roman" w:hAnsi="Traditional Arabic" w:cs="Traditional Arabic"/>
          <w:color w:val="222222"/>
          <w:sz w:val="35"/>
          <w:szCs w:val="35"/>
          <w:rtl/>
        </w:rPr>
        <w:t xml:space="preserve"> بداية المتجهين ونوصل رأسه إلى الزاوية المقابلة فيكون بهذا قطر متوازي الأضلاع الذي يمثل محصلة </w:t>
      </w:r>
      <w:proofErr w:type="gramStart"/>
      <w:r w:rsidRPr="00263D8F">
        <w:rPr>
          <w:rFonts w:ascii="Traditional Arabic" w:eastAsia="Times New Roman" w:hAnsi="Traditional Arabic" w:cs="Traditional Arabic"/>
          <w:color w:val="222222"/>
          <w:sz w:val="35"/>
          <w:szCs w:val="35"/>
          <w:rtl/>
        </w:rPr>
        <w:t>المتجهين .</w:t>
      </w:r>
      <w:proofErr w:type="gramEnd"/>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معكوس تلك العملية يسمى تحليل القوة إلى </w:t>
      </w:r>
      <w:proofErr w:type="gramStart"/>
      <w:r w:rsidRPr="00263D8F">
        <w:rPr>
          <w:rFonts w:ascii="Traditional Arabic" w:eastAsia="Times New Roman" w:hAnsi="Traditional Arabic" w:cs="Traditional Arabic"/>
          <w:color w:val="222222"/>
          <w:sz w:val="35"/>
          <w:szCs w:val="35"/>
          <w:rtl/>
        </w:rPr>
        <w:t>مركبتين ،</w:t>
      </w:r>
      <w:proofErr w:type="gramEnd"/>
      <w:r w:rsidRPr="00263D8F">
        <w:rPr>
          <w:rFonts w:ascii="Traditional Arabic" w:eastAsia="Times New Roman" w:hAnsi="Traditional Arabic" w:cs="Traditional Arabic"/>
          <w:color w:val="222222"/>
          <w:sz w:val="35"/>
          <w:szCs w:val="35"/>
          <w:rtl/>
        </w:rPr>
        <w:t xml:space="preserve"> حيث نجزئ متجه قوة ما إلى مركبتين عموديتان على بعضهما البعض، ومن خلال تلك العملية يمكن حساب مقدار كل من المركبتين الممثلين للقوة الأصلية ولكن بالنسبة للإحداثيات </w:t>
      </w:r>
      <w:proofErr w:type="spellStart"/>
      <w:r w:rsidRPr="00263D8F">
        <w:rPr>
          <w:rFonts w:ascii="Traditional Arabic" w:eastAsia="Times New Roman" w:hAnsi="Traditional Arabic" w:cs="Traditional Arabic"/>
          <w:color w:val="222222"/>
          <w:sz w:val="35"/>
          <w:szCs w:val="35"/>
          <w:rtl/>
        </w:rPr>
        <w:t>الديكارتية</w:t>
      </w:r>
      <w:proofErr w:type="spellEnd"/>
      <w:r w:rsidRPr="00263D8F">
        <w:rPr>
          <w:rFonts w:ascii="Traditional Arabic" w:eastAsia="Times New Roman" w:hAnsi="Traditional Arabic" w:cs="Traditional Arabic"/>
          <w:color w:val="222222"/>
          <w:sz w:val="35"/>
          <w:szCs w:val="35"/>
          <w:rtl/>
        </w:rPr>
        <w:t xml:space="preserve"> .</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lastRenderedPageBreak/>
        <w:t xml:space="preserve">يمكن تعميم هذه الطريقة للحصول على محصلة عدة </w:t>
      </w:r>
      <w:proofErr w:type="gramStart"/>
      <w:r w:rsidRPr="00263D8F">
        <w:rPr>
          <w:rFonts w:ascii="Traditional Arabic" w:eastAsia="Times New Roman" w:hAnsi="Traditional Arabic" w:cs="Traditional Arabic"/>
          <w:color w:val="222222"/>
          <w:sz w:val="35"/>
          <w:szCs w:val="35"/>
          <w:rtl/>
        </w:rPr>
        <w:t>قوي ،</w:t>
      </w:r>
      <w:proofErr w:type="gramEnd"/>
      <w:r w:rsidRPr="00263D8F">
        <w:rPr>
          <w:rFonts w:ascii="Traditional Arabic" w:eastAsia="Times New Roman" w:hAnsi="Traditional Arabic" w:cs="Traditional Arabic"/>
          <w:color w:val="222222"/>
          <w:sz w:val="35"/>
          <w:szCs w:val="35"/>
          <w:rtl/>
        </w:rPr>
        <w:t xml:space="preserve"> ثلاثة أو أربعة أو أكثر... فيما يسمى مضلع القوى .</w:t>
      </w:r>
    </w:p>
    <w:p w:rsidR="00263D8F" w:rsidRPr="00263D8F" w:rsidRDefault="00263D8F" w:rsidP="00263D8F">
      <w:pPr>
        <w:jc w:val="lowKashida"/>
        <w:rPr>
          <w:rFonts w:ascii="Traditional Arabic" w:eastAsia="Times New Roman" w:hAnsi="Traditional Arabic" w:cs="Traditional Arabic"/>
          <w:b/>
          <w:bCs/>
          <w:color w:val="222222"/>
          <w:sz w:val="35"/>
          <w:szCs w:val="35"/>
        </w:rPr>
      </w:pPr>
      <w:bookmarkStart w:id="0" w:name="_GoBack"/>
      <w:r w:rsidRPr="00263D8F">
        <w:rPr>
          <w:rFonts w:ascii="Traditional Arabic" w:eastAsia="Times New Roman" w:hAnsi="Traditional Arabic" w:cs="Traditional Arabic"/>
          <w:b/>
          <w:bCs/>
          <w:color w:val="222222"/>
          <w:sz w:val="35"/>
          <w:szCs w:val="35"/>
          <w:rtl/>
        </w:rPr>
        <w:t>جمع متجهين بالرسم البياني</w:t>
      </w:r>
    </w:p>
    <w:bookmarkEnd w:id="0"/>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نفترض أن متجهين تؤثر على جسم. يمكننا بواسطة الرسم البياني تعيين المحصلة، كالآتي:</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نرسم المتجهين كسهمين بمقياس رسم معين، من حيث المقدار والاتجاه،</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نرسم من رأس السهم الأول خطا موازيا للسهم الثاني،</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ونرسم من رأس السهم الثاني خطا موازياً للسهم الأول. </w:t>
      </w:r>
      <w:proofErr w:type="spellStart"/>
      <w:r w:rsidRPr="00263D8F">
        <w:rPr>
          <w:rFonts w:ascii="Traditional Arabic" w:eastAsia="Times New Roman" w:hAnsi="Traditional Arabic" w:cs="Traditional Arabic"/>
          <w:color w:val="222222"/>
          <w:sz w:val="35"/>
          <w:szCs w:val="35"/>
          <w:rtl/>
        </w:rPr>
        <w:t>يتقاع</w:t>
      </w:r>
      <w:proofErr w:type="spellEnd"/>
      <w:r w:rsidRPr="00263D8F">
        <w:rPr>
          <w:rFonts w:ascii="Traditional Arabic" w:eastAsia="Times New Roman" w:hAnsi="Traditional Arabic" w:cs="Traditional Arabic"/>
          <w:color w:val="222222"/>
          <w:sz w:val="35"/>
          <w:szCs w:val="35"/>
          <w:rtl/>
        </w:rPr>
        <w:t xml:space="preserve"> الخطان ويكتمل متوازي الأضلاع.</w:t>
      </w:r>
    </w:p>
    <w:p w:rsidR="00263D8F" w:rsidRPr="00263D8F" w:rsidRDefault="00263D8F" w:rsidP="00263D8F">
      <w:pPr>
        <w:jc w:val="lowKashida"/>
        <w:rPr>
          <w:rFonts w:ascii="Traditional Arabic" w:eastAsia="Times New Roman" w:hAnsi="Traditional Arabic" w:cs="Traditional Arabic"/>
          <w:color w:val="222222"/>
          <w:sz w:val="35"/>
          <w:szCs w:val="35"/>
        </w:rPr>
      </w:pPr>
      <w:r w:rsidRPr="00263D8F">
        <w:rPr>
          <w:rFonts w:ascii="Traditional Arabic" w:eastAsia="Times New Roman" w:hAnsi="Traditional Arabic" w:cs="Traditional Arabic"/>
          <w:color w:val="222222"/>
          <w:sz w:val="35"/>
          <w:szCs w:val="35"/>
          <w:rtl/>
        </w:rPr>
        <w:t xml:space="preserve">المحور </w:t>
      </w:r>
      <w:proofErr w:type="spellStart"/>
      <w:r w:rsidRPr="00263D8F">
        <w:rPr>
          <w:rFonts w:ascii="Traditional Arabic" w:eastAsia="Times New Roman" w:hAnsi="Traditional Arabic" w:cs="Traditional Arabic"/>
          <w:color w:val="222222"/>
          <w:sz w:val="35"/>
          <w:szCs w:val="35"/>
          <w:rtl/>
        </w:rPr>
        <w:t>الباديء</w:t>
      </w:r>
      <w:proofErr w:type="spellEnd"/>
      <w:r w:rsidRPr="00263D8F">
        <w:rPr>
          <w:rFonts w:ascii="Traditional Arabic" w:eastAsia="Times New Roman" w:hAnsi="Traditional Arabic" w:cs="Traditional Arabic"/>
          <w:color w:val="222222"/>
          <w:sz w:val="35"/>
          <w:szCs w:val="35"/>
          <w:rtl/>
        </w:rPr>
        <w:t xml:space="preserve"> من نقطة تأثير المتجهين إلى نقطة تقاطع الخطين هي محصلة المتجهين، وتقوم مقامهما.</w:t>
      </w:r>
    </w:p>
    <w:p w:rsidR="000816F0" w:rsidRPr="00263D8F" w:rsidRDefault="000816F0" w:rsidP="00263D8F">
      <w:pPr>
        <w:jc w:val="lowKashida"/>
        <w:rPr>
          <w:rFonts w:ascii="Traditional Arabic" w:hAnsi="Traditional Arabic" w:cs="Traditional Arabic"/>
          <w:sz w:val="28"/>
          <w:szCs w:val="28"/>
        </w:rPr>
      </w:pPr>
    </w:p>
    <w:sectPr w:rsidR="000816F0" w:rsidRPr="00263D8F" w:rsidSect="00263D8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241"/>
    <w:multiLevelType w:val="multilevel"/>
    <w:tmpl w:val="C5FE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31B22"/>
    <w:multiLevelType w:val="multilevel"/>
    <w:tmpl w:val="164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D8422E"/>
    <w:multiLevelType w:val="multilevel"/>
    <w:tmpl w:val="4B60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17738"/>
    <w:multiLevelType w:val="multilevel"/>
    <w:tmpl w:val="E16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DD05CA"/>
    <w:multiLevelType w:val="multilevel"/>
    <w:tmpl w:val="A25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8F"/>
    <w:rsid w:val="000816F0"/>
    <w:rsid w:val="00263D8F"/>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AB50"/>
  <w15:chartTrackingRefBased/>
  <w15:docId w15:val="{DC40BF0F-0F78-4E3F-91C9-447B73D5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41672">
      <w:bodyDiv w:val="1"/>
      <w:marLeft w:val="0"/>
      <w:marRight w:val="0"/>
      <w:marTop w:val="0"/>
      <w:marBottom w:val="0"/>
      <w:divBdr>
        <w:top w:val="none" w:sz="0" w:space="0" w:color="auto"/>
        <w:left w:val="none" w:sz="0" w:space="0" w:color="auto"/>
        <w:bottom w:val="none" w:sz="0" w:space="0" w:color="auto"/>
        <w:right w:val="none" w:sz="0" w:space="0" w:color="auto"/>
      </w:divBdr>
      <w:divsChild>
        <w:div w:id="1058168492">
          <w:marLeft w:val="0"/>
          <w:marRight w:val="0"/>
          <w:marTop w:val="0"/>
          <w:marBottom w:val="0"/>
          <w:divBdr>
            <w:top w:val="single" w:sz="6" w:space="5" w:color="A2A9B1"/>
            <w:left w:val="single" w:sz="6" w:space="5" w:color="A2A9B1"/>
            <w:bottom w:val="single" w:sz="6" w:space="5" w:color="A2A9B1"/>
            <w:right w:val="single" w:sz="6" w:space="5" w:color="A2A9B1"/>
          </w:divBdr>
        </w:div>
        <w:div w:id="692346655">
          <w:marLeft w:val="0"/>
          <w:marRight w:val="336"/>
          <w:marTop w:val="120"/>
          <w:marBottom w:val="312"/>
          <w:divBdr>
            <w:top w:val="none" w:sz="0" w:space="0" w:color="auto"/>
            <w:left w:val="none" w:sz="0" w:space="0" w:color="auto"/>
            <w:bottom w:val="none" w:sz="0" w:space="0" w:color="auto"/>
            <w:right w:val="none" w:sz="0" w:space="0" w:color="auto"/>
          </w:divBdr>
          <w:divsChild>
            <w:div w:id="20461007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413429119">
          <w:marLeft w:val="0"/>
          <w:marRight w:val="336"/>
          <w:marTop w:val="120"/>
          <w:marBottom w:val="312"/>
          <w:divBdr>
            <w:top w:val="none" w:sz="0" w:space="0" w:color="auto"/>
            <w:left w:val="none" w:sz="0" w:space="0" w:color="auto"/>
            <w:bottom w:val="none" w:sz="0" w:space="0" w:color="auto"/>
            <w:right w:val="none" w:sz="0" w:space="0" w:color="auto"/>
          </w:divBdr>
          <w:divsChild>
            <w:div w:id="975453130">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643198419">
          <w:marLeft w:val="0"/>
          <w:marRight w:val="336"/>
          <w:marTop w:val="120"/>
          <w:marBottom w:val="312"/>
          <w:divBdr>
            <w:top w:val="none" w:sz="0" w:space="0" w:color="auto"/>
            <w:left w:val="none" w:sz="0" w:space="0" w:color="auto"/>
            <w:bottom w:val="none" w:sz="0" w:space="0" w:color="auto"/>
            <w:right w:val="none" w:sz="0" w:space="0" w:color="auto"/>
          </w:divBdr>
          <w:divsChild>
            <w:div w:id="44650921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471168262">
          <w:marLeft w:val="0"/>
          <w:marRight w:val="120"/>
          <w:marTop w:val="0"/>
          <w:marBottom w:val="120"/>
          <w:divBdr>
            <w:top w:val="none" w:sz="0" w:space="0" w:color="auto"/>
            <w:left w:val="none" w:sz="0" w:space="0" w:color="auto"/>
            <w:bottom w:val="none" w:sz="0" w:space="0" w:color="auto"/>
            <w:right w:val="none" w:sz="0" w:space="0" w:color="auto"/>
          </w:divBdr>
        </w:div>
        <w:div w:id="321739666">
          <w:marLeft w:val="0"/>
          <w:marRight w:val="336"/>
          <w:marTop w:val="120"/>
          <w:marBottom w:val="312"/>
          <w:divBdr>
            <w:top w:val="none" w:sz="0" w:space="0" w:color="auto"/>
            <w:left w:val="none" w:sz="0" w:space="0" w:color="auto"/>
            <w:bottom w:val="none" w:sz="0" w:space="0" w:color="auto"/>
            <w:right w:val="none" w:sz="0" w:space="0" w:color="auto"/>
          </w:divBdr>
          <w:divsChild>
            <w:div w:id="187619351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71203809">
          <w:marLeft w:val="0"/>
          <w:marRight w:val="336"/>
          <w:marTop w:val="120"/>
          <w:marBottom w:val="312"/>
          <w:divBdr>
            <w:top w:val="none" w:sz="0" w:space="0" w:color="auto"/>
            <w:left w:val="none" w:sz="0" w:space="0" w:color="auto"/>
            <w:bottom w:val="none" w:sz="0" w:space="0" w:color="auto"/>
            <w:right w:val="none" w:sz="0" w:space="0" w:color="auto"/>
          </w:divBdr>
          <w:divsChild>
            <w:div w:id="19327831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2018-03-18T18:22:00Z</dcterms:created>
  <dcterms:modified xsi:type="dcterms:W3CDTF">2018-03-18T18:25:00Z</dcterms:modified>
</cp:coreProperties>
</file>