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82A" w:rsidRPr="00C3282A" w:rsidRDefault="00C3282A" w:rsidP="00C3282A">
      <w:pPr>
        <w:spacing w:line="360" w:lineRule="auto"/>
        <w:jc w:val="lowKashida"/>
        <w:rPr>
          <w:rFonts w:ascii="Traditional Arabic" w:hAnsi="Traditional Arabic" w:cs="Traditional Arabic"/>
          <w:b/>
          <w:bCs/>
          <w:sz w:val="32"/>
          <w:szCs w:val="32"/>
          <w:rtl/>
          <w:lang w:bidi="ar"/>
        </w:rPr>
      </w:pPr>
      <w:bookmarkStart w:id="0" w:name="_GoBack"/>
      <w:r w:rsidRPr="00C3282A">
        <w:rPr>
          <w:rFonts w:ascii="Traditional Arabic" w:hAnsi="Traditional Arabic" w:cs="Traditional Arabic"/>
          <w:b/>
          <w:bCs/>
          <w:sz w:val="32"/>
          <w:szCs w:val="32"/>
          <w:rtl/>
          <w:lang w:bidi="ar"/>
        </w:rPr>
        <w:t>القطع المكافئ</w:t>
      </w:r>
    </w:p>
    <w:p w:rsidR="00C3282A" w:rsidRPr="00C3282A" w:rsidRDefault="00C3282A" w:rsidP="00C3282A">
      <w:pPr>
        <w:spacing w:line="360" w:lineRule="auto"/>
        <w:jc w:val="lowKashida"/>
        <w:rPr>
          <w:rFonts w:ascii="Traditional Arabic" w:hAnsi="Traditional Arabic" w:cs="Traditional Arabic"/>
          <w:sz w:val="32"/>
          <w:szCs w:val="32"/>
          <w:rtl/>
          <w:lang w:bidi="ar"/>
        </w:rPr>
      </w:pPr>
      <w:r w:rsidRPr="00C3282A">
        <w:rPr>
          <w:rFonts w:ascii="Traditional Arabic" w:hAnsi="Traditional Arabic" w:cs="Traditional Arabic"/>
          <w:sz w:val="32"/>
          <w:szCs w:val="32"/>
          <w:rtl/>
          <w:lang w:bidi="ar"/>
        </w:rPr>
        <w:t>في الرياضيات، القطع المكافئ (ويقال له الشلجم والصواب الشلجمي أي ذو شكل الشلجم) هو شكل ثنائي الأبعاد و هو قطع مخروطي، ينشأ من قَطْع سطح مخروطي دائري قائم بمستو موازٍ لراسم هذا السطح (أي الخط المولد له). بمعلومية نقطة (البؤرة) "</w:t>
      </w:r>
      <w:r w:rsidRPr="00C3282A">
        <w:rPr>
          <w:rFonts w:ascii="Traditional Arabic" w:hAnsi="Traditional Arabic" w:cs="Traditional Arabic"/>
          <w:sz w:val="32"/>
          <w:szCs w:val="32"/>
          <w:lang w:bidi="ar"/>
        </w:rPr>
        <w:t>Focus</w:t>
      </w:r>
      <w:r w:rsidRPr="00C3282A">
        <w:rPr>
          <w:rFonts w:ascii="Traditional Arabic" w:hAnsi="Traditional Arabic" w:cs="Traditional Arabic"/>
          <w:sz w:val="32"/>
          <w:szCs w:val="32"/>
          <w:rtl/>
          <w:lang w:bidi="ar"/>
        </w:rPr>
        <w:t>" وخط مستقيم مقابل في المستوى (الدليل) "</w:t>
      </w:r>
      <w:r w:rsidRPr="00C3282A">
        <w:rPr>
          <w:rFonts w:ascii="Traditional Arabic" w:hAnsi="Traditional Arabic" w:cs="Traditional Arabic"/>
          <w:sz w:val="32"/>
          <w:szCs w:val="32"/>
          <w:lang w:bidi="ar"/>
        </w:rPr>
        <w:t>directrix</w:t>
      </w:r>
      <w:r w:rsidRPr="00C3282A">
        <w:rPr>
          <w:rFonts w:ascii="Traditional Arabic" w:hAnsi="Traditional Arabic" w:cs="Traditional Arabic"/>
          <w:sz w:val="32"/>
          <w:szCs w:val="32"/>
          <w:rtl/>
          <w:lang w:bidi="ar"/>
        </w:rPr>
        <w:t>"، يكون القطع المكافئ هو المحل الهندسي للنقاط الواقعة في هذا المستوى والتي تبعد عن البؤرة بمسافة مساوية لبعدها عن الدليل. الخط العمودي على الدليل ويمر بالبؤرة يسمى "محور التماثل"، ونقطة تقاطع القطع المكافئ مع محور التماثل تسمى رأس القطع المكافئ "</w:t>
      </w:r>
      <w:r w:rsidRPr="00C3282A">
        <w:rPr>
          <w:rFonts w:ascii="Traditional Arabic" w:hAnsi="Traditional Arabic" w:cs="Traditional Arabic"/>
          <w:sz w:val="32"/>
          <w:szCs w:val="32"/>
          <w:lang w:bidi="ar"/>
        </w:rPr>
        <w:t>vertex</w:t>
      </w:r>
      <w:r w:rsidRPr="00C3282A">
        <w:rPr>
          <w:rFonts w:ascii="Traditional Arabic" w:hAnsi="Traditional Arabic" w:cs="Traditional Arabic"/>
          <w:sz w:val="32"/>
          <w:szCs w:val="32"/>
          <w:rtl/>
          <w:lang w:bidi="ar"/>
        </w:rPr>
        <w:t>". رأس القطع المكافئ هي نقطة تقع عليه يحدث عندها تغير في اتجاه وأطراد الدالة (أي فترات التزايد والتناقص) ويكون عندها ميل المماس مساويًا للصفر. قد يكون القطع المكافئ مفتوحًا إلى أعلى أو مفتوحًا إلى أسفل أو إلى اليمين أو اليسار.</w:t>
      </w:r>
    </w:p>
    <w:p w:rsidR="00C3282A" w:rsidRPr="00C3282A" w:rsidRDefault="00C3282A" w:rsidP="00C3282A">
      <w:pPr>
        <w:spacing w:line="360" w:lineRule="auto"/>
        <w:jc w:val="lowKashida"/>
        <w:rPr>
          <w:rFonts w:ascii="Traditional Arabic" w:hAnsi="Traditional Arabic" w:cs="Traditional Arabic"/>
          <w:sz w:val="32"/>
          <w:szCs w:val="32"/>
          <w:rtl/>
          <w:lang w:bidi="ar"/>
        </w:rPr>
      </w:pPr>
      <w:r w:rsidRPr="00C3282A">
        <w:rPr>
          <w:rFonts w:ascii="Traditional Arabic" w:hAnsi="Traditional Arabic" w:cs="Traditional Arabic"/>
          <w:sz w:val="32"/>
          <w:szCs w:val="32"/>
          <w:rtl/>
          <w:lang w:bidi="ar"/>
        </w:rPr>
        <w:t>للقطوع المكافئة أهمية كبيرة وتطبيقات متعددة، بداية من مرايا السيارات ومصابيحها الأمامية إلى تصميم الصواريخ البالستية. كما أن لها استخدامات كثيرة في الفيزياء والهندسةومجالات أخرى عديدة.</w:t>
      </w:r>
    </w:p>
    <w:p w:rsidR="00C3282A" w:rsidRPr="00C3282A" w:rsidRDefault="00C3282A" w:rsidP="00C3282A">
      <w:pPr>
        <w:spacing w:line="360" w:lineRule="auto"/>
        <w:jc w:val="lowKashida"/>
        <w:rPr>
          <w:rFonts w:ascii="Traditional Arabic" w:hAnsi="Traditional Arabic" w:cs="Traditional Arabic"/>
          <w:b/>
          <w:bCs/>
          <w:sz w:val="32"/>
          <w:szCs w:val="32"/>
          <w:rtl/>
          <w:lang w:bidi="ar"/>
        </w:rPr>
      </w:pPr>
      <w:r w:rsidRPr="00C3282A">
        <w:rPr>
          <w:rFonts w:ascii="Traditional Arabic" w:hAnsi="Traditional Arabic" w:cs="Traditional Arabic"/>
          <w:b/>
          <w:bCs/>
          <w:sz w:val="32"/>
          <w:szCs w:val="32"/>
          <w:rtl/>
          <w:lang w:bidi="ar"/>
        </w:rPr>
        <w:t>تاريخ</w:t>
      </w:r>
    </w:p>
    <w:p w:rsidR="00C3282A" w:rsidRPr="00C3282A" w:rsidRDefault="00C3282A" w:rsidP="00C3282A">
      <w:pPr>
        <w:spacing w:line="360" w:lineRule="auto"/>
        <w:jc w:val="lowKashida"/>
        <w:rPr>
          <w:rFonts w:ascii="Traditional Arabic" w:hAnsi="Traditional Arabic" w:cs="Traditional Arabic"/>
          <w:sz w:val="32"/>
          <w:szCs w:val="32"/>
          <w:rtl/>
          <w:lang w:bidi="ar"/>
        </w:rPr>
      </w:pPr>
      <w:r w:rsidRPr="00C3282A">
        <w:rPr>
          <w:rFonts w:ascii="Traditional Arabic" w:hAnsi="Traditional Arabic" w:cs="Traditional Arabic"/>
          <w:sz w:val="32"/>
          <w:szCs w:val="32"/>
          <w:rtl/>
          <w:lang w:bidi="ar"/>
        </w:rPr>
        <w:t>أقدم من عمل على دراسة القطوع المخروطية، طبقًا لما هو معروف لدينا، هو منانخيموس في القرن الرابع ق.م. فقد أوجد طريقة لحل مسألة مضاعفة المكعب باستخدام القطوع المكافئة، وقد كان من الصعب حل مثل هذه المسألة بإنشاءات الفرجار والمسطرة. أما أبولونيوس فقد اكتشف العديد من خصائص القطوع المخروطية، كما يعود إليه الفضل في تسمية هذا النوع من القطوع بالقطع المكافئ. خاصية البؤرة-الدليل للقطع المكافئ، يعود الفضل فيها إلى بابوس السكندري.</w:t>
      </w:r>
    </w:p>
    <w:p w:rsidR="00C3282A" w:rsidRPr="00C3282A" w:rsidRDefault="00C3282A" w:rsidP="00C3282A">
      <w:pPr>
        <w:spacing w:line="360" w:lineRule="auto"/>
        <w:jc w:val="lowKashida"/>
        <w:rPr>
          <w:rFonts w:ascii="Traditional Arabic" w:hAnsi="Traditional Arabic" w:cs="Traditional Arabic"/>
          <w:sz w:val="32"/>
          <w:szCs w:val="32"/>
          <w:rtl/>
          <w:lang w:bidi="ar"/>
        </w:rPr>
      </w:pPr>
      <w:r w:rsidRPr="00C3282A">
        <w:rPr>
          <w:rFonts w:ascii="Traditional Arabic" w:hAnsi="Traditional Arabic" w:cs="Traditional Arabic"/>
          <w:sz w:val="32"/>
          <w:szCs w:val="32"/>
          <w:rtl/>
          <w:lang w:bidi="ar"/>
        </w:rPr>
        <w:lastRenderedPageBreak/>
        <w:t>أوضح جاليليو أن المقذوفات تتخذ مسارًا على هيئة قطع مكافئ؛ ذلك نتيجة انتظام عجلة الجاذبية الأرضية.</w:t>
      </w:r>
    </w:p>
    <w:p w:rsidR="00C3282A" w:rsidRPr="00C3282A" w:rsidRDefault="00C3282A" w:rsidP="00C3282A">
      <w:pPr>
        <w:spacing w:line="360" w:lineRule="auto"/>
        <w:jc w:val="lowKashida"/>
        <w:rPr>
          <w:rFonts w:ascii="Traditional Arabic" w:hAnsi="Traditional Arabic" w:cs="Traditional Arabic"/>
          <w:sz w:val="32"/>
          <w:szCs w:val="32"/>
          <w:rtl/>
          <w:lang w:bidi="ar"/>
        </w:rPr>
      </w:pPr>
      <w:r w:rsidRPr="00C3282A">
        <w:rPr>
          <w:rFonts w:ascii="Traditional Arabic" w:hAnsi="Traditional Arabic" w:cs="Traditional Arabic"/>
          <w:sz w:val="32"/>
          <w:szCs w:val="32"/>
          <w:rtl/>
          <w:lang w:bidi="ar"/>
        </w:rPr>
        <w:t>قبل اختراع التليسكوب العاكس كانت فكرة تكون صورة من خلال مرآة القطع المكافئ؛ معروفة. في النصف الأول من القرن السابع عشر اقترح مجموعة من علماء الرياضيات، أمثالرينيه ديكارت ومارين مارسين وجيمس جريجوري، تصميمات لمرايا القطع المكافئ. لكن إسحاق نيوتن تحاشى استخدام هذا النوع من المرايا عندما قام ببناء أول تلسكوب عاكس عام1668م، وذلك لصعوبة تصنيعها مقارنة بالمرايا الكرية. في الوقت الراهن تستخدم عواكس القطع المكافئ في أغلب التلسكوبات العاكسة الحديثة ، وفي التلسكوبات الفضائية ، وأطباق الاستقبال التلفازي المعدنية، وأطباق اتصالات الساتل الصناعية ، ومستقبلات الرادار.</w:t>
      </w:r>
    </w:p>
    <w:p w:rsidR="00575DBB" w:rsidRPr="00C3282A" w:rsidRDefault="00C3282A" w:rsidP="00C3282A">
      <w:pPr>
        <w:spacing w:line="360" w:lineRule="auto"/>
        <w:jc w:val="lowKashida"/>
        <w:rPr>
          <w:rFonts w:ascii="Traditional Arabic" w:hAnsi="Traditional Arabic" w:cs="Traditional Arabic"/>
          <w:b/>
          <w:bCs/>
          <w:sz w:val="32"/>
          <w:szCs w:val="32"/>
          <w:rtl/>
          <w:lang w:bidi="ar"/>
        </w:rPr>
      </w:pPr>
      <w:r w:rsidRPr="00C3282A">
        <w:rPr>
          <w:rFonts w:ascii="Traditional Arabic" w:hAnsi="Traditional Arabic" w:cs="Traditional Arabic"/>
          <w:b/>
          <w:bCs/>
          <w:sz w:val="32"/>
          <w:szCs w:val="32"/>
          <w:rtl/>
          <w:lang w:bidi="ar"/>
        </w:rPr>
        <w:t>المعادلة في الإحداثيات الديكارتية</w:t>
      </w:r>
    </w:p>
    <w:p w:rsidR="00575DBB" w:rsidRDefault="00575DBB" w:rsidP="00C3282A">
      <w:pPr>
        <w:spacing w:line="360" w:lineRule="auto"/>
        <w:jc w:val="lowKashida"/>
        <w:rPr>
          <w:rFonts w:ascii="Traditional Arabic" w:hAnsi="Traditional Arabic" w:cs="Traditional Arabic"/>
          <w:sz w:val="32"/>
          <w:szCs w:val="32"/>
          <w:rtl/>
          <w:lang w:bidi="ar"/>
        </w:rPr>
      </w:pPr>
      <w:r w:rsidRPr="00C3282A">
        <w:rPr>
          <w:rFonts w:ascii="Traditional Arabic" w:hAnsi="Traditional Arabic" w:cs="Traditional Arabic"/>
          <w:noProof/>
          <w:sz w:val="32"/>
          <w:szCs w:val="32"/>
        </w:rPr>
        <w:drawing>
          <wp:inline distT="0" distB="0" distL="0" distR="0">
            <wp:extent cx="2957195" cy="2731135"/>
            <wp:effectExtent l="0" t="0" r="0" b="0"/>
            <wp:docPr id="9" name="صورة 9" descr="https://upload.wikimedia.org/wikipedia/commons/thumb/4/49/Parabel-brennp.png/310px-Parabel-brenn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9/Parabel-brennp.png/310px-Parabel-brennp.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7195" cy="2731135"/>
                    </a:xfrm>
                    <a:prstGeom prst="rect">
                      <a:avLst/>
                    </a:prstGeom>
                    <a:noFill/>
                    <a:ln>
                      <a:noFill/>
                    </a:ln>
                  </pic:spPr>
                </pic:pic>
              </a:graphicData>
            </a:graphic>
          </wp:inline>
        </w:drawing>
      </w:r>
    </w:p>
    <w:p w:rsidR="00C3282A" w:rsidRDefault="00C3282A" w:rsidP="00C3282A">
      <w:pPr>
        <w:spacing w:line="360" w:lineRule="auto"/>
        <w:jc w:val="lowKashida"/>
        <w:rPr>
          <w:rFonts w:ascii="Traditional Arabic" w:hAnsi="Traditional Arabic" w:cs="Traditional Arabic"/>
          <w:sz w:val="32"/>
          <w:szCs w:val="32"/>
          <w:rtl/>
          <w:lang w:bidi="ar"/>
        </w:rPr>
      </w:pPr>
    </w:p>
    <w:p w:rsidR="00C3282A" w:rsidRPr="00C3282A" w:rsidRDefault="00C3282A" w:rsidP="00C3282A">
      <w:pPr>
        <w:spacing w:line="360" w:lineRule="auto"/>
        <w:jc w:val="lowKashida"/>
        <w:rPr>
          <w:rFonts w:ascii="Traditional Arabic" w:hAnsi="Traditional Arabic" w:cs="Traditional Arabic"/>
          <w:sz w:val="32"/>
          <w:szCs w:val="32"/>
          <w:rtl/>
          <w:lang w:bidi="ar"/>
        </w:rPr>
      </w:pPr>
    </w:p>
    <w:p w:rsidR="00575DBB" w:rsidRPr="00C3282A" w:rsidRDefault="00575DBB" w:rsidP="00C3282A">
      <w:pPr>
        <w:spacing w:line="360" w:lineRule="auto"/>
        <w:jc w:val="lowKashida"/>
        <w:rPr>
          <w:rFonts w:ascii="Traditional Arabic" w:hAnsi="Traditional Arabic" w:cs="Traditional Arabic"/>
          <w:b/>
          <w:bCs/>
          <w:sz w:val="32"/>
          <w:szCs w:val="32"/>
          <w:rtl/>
          <w:lang w:bidi="ar"/>
        </w:rPr>
      </w:pPr>
      <w:r w:rsidRPr="00C3282A">
        <w:rPr>
          <w:rFonts w:ascii="Traditional Arabic" w:hAnsi="Traditional Arabic" w:cs="Traditional Arabic"/>
          <w:b/>
          <w:bCs/>
          <w:sz w:val="32"/>
          <w:szCs w:val="32"/>
          <w:rtl/>
          <w:lang w:bidi="ar"/>
        </w:rPr>
        <w:lastRenderedPageBreak/>
        <w:t xml:space="preserve">قطع مكافيء: خواص البؤرة </w:t>
      </w:r>
      <w:r w:rsidRPr="00C3282A">
        <w:rPr>
          <w:rFonts w:ascii="Traditional Arabic" w:hAnsi="Traditional Arabic" w:cs="Traditional Arabic"/>
          <w:b/>
          <w:bCs/>
          <w:sz w:val="32"/>
          <w:szCs w:val="32"/>
        </w:rPr>
        <w:t>F</w:t>
      </w:r>
      <w:r w:rsidRPr="00C3282A">
        <w:rPr>
          <w:rFonts w:ascii="Traditional Arabic" w:hAnsi="Traditional Arabic" w:cs="Traditional Arabic"/>
          <w:b/>
          <w:bCs/>
          <w:sz w:val="32"/>
          <w:szCs w:val="32"/>
          <w:rtl/>
          <w:lang w:bidi="ar"/>
        </w:rPr>
        <w:t>.</w:t>
      </w:r>
    </w:p>
    <w:p w:rsidR="00575DBB" w:rsidRPr="00C3282A" w:rsidRDefault="00575DBB" w:rsidP="00C3282A">
      <w:pPr>
        <w:spacing w:line="360" w:lineRule="auto"/>
        <w:jc w:val="lowKashida"/>
        <w:rPr>
          <w:rFonts w:ascii="Traditional Arabic" w:hAnsi="Traditional Arabic" w:cs="Traditional Arabic"/>
          <w:sz w:val="32"/>
          <w:szCs w:val="32"/>
          <w:rtl/>
          <w:lang w:bidi="ar"/>
        </w:rPr>
      </w:pPr>
      <w:r w:rsidRPr="00C3282A">
        <w:rPr>
          <w:rFonts w:ascii="Traditional Arabic" w:hAnsi="Traditional Arabic" w:cs="Traditional Arabic"/>
          <w:sz w:val="32"/>
          <w:szCs w:val="32"/>
          <w:rtl/>
          <w:lang w:bidi="ar"/>
        </w:rPr>
        <w:t>إذا افترضنا أن دليل القطع المكافئ هو الخط </w:t>
      </w:r>
      <w:r w:rsidRPr="00C3282A">
        <w:rPr>
          <w:rFonts w:ascii="Traditional Arabic" w:hAnsi="Traditional Arabic" w:cs="Traditional Arabic"/>
          <w:i/>
          <w:iCs/>
          <w:sz w:val="32"/>
          <w:szCs w:val="32"/>
        </w:rPr>
        <w:t>x</w:t>
      </w:r>
      <w:r w:rsidRPr="00C3282A">
        <w:rPr>
          <w:rFonts w:ascii="Traditional Arabic" w:hAnsi="Traditional Arabic" w:cs="Traditional Arabic"/>
          <w:sz w:val="32"/>
          <w:szCs w:val="32"/>
          <w:rtl/>
          <w:lang w:bidi="ar"/>
        </w:rPr>
        <w:t xml:space="preserve"> = </w:t>
      </w:r>
      <w:r w:rsidRPr="00C3282A">
        <w:rPr>
          <w:rFonts w:ascii="Sakkal Majalla" w:hAnsi="Sakkal Majalla" w:cs="Sakkal Majalla" w:hint="cs"/>
          <w:sz w:val="32"/>
          <w:szCs w:val="32"/>
          <w:rtl/>
          <w:lang w:bidi="ar"/>
        </w:rPr>
        <w:t>−</w:t>
      </w:r>
      <w:r w:rsidRPr="00C3282A">
        <w:rPr>
          <w:rFonts w:ascii="Traditional Arabic" w:hAnsi="Traditional Arabic" w:cs="Traditional Arabic"/>
          <w:i/>
          <w:iCs/>
          <w:sz w:val="32"/>
          <w:szCs w:val="32"/>
        </w:rPr>
        <w:t>p</w:t>
      </w:r>
      <w:r w:rsidRPr="00C3282A">
        <w:rPr>
          <w:rFonts w:ascii="Traditional Arabic" w:hAnsi="Traditional Arabic" w:cs="Traditional Arabic"/>
          <w:sz w:val="32"/>
          <w:szCs w:val="32"/>
          <w:rtl/>
          <w:lang w:bidi="ar"/>
        </w:rPr>
        <w:t>، وأن بؤرته هي النقطة (</w:t>
      </w:r>
      <w:r w:rsidRPr="00C3282A">
        <w:rPr>
          <w:rFonts w:ascii="Traditional Arabic" w:hAnsi="Traditional Arabic" w:cs="Traditional Arabic"/>
          <w:i/>
          <w:iCs/>
          <w:sz w:val="32"/>
          <w:szCs w:val="32"/>
        </w:rPr>
        <w:t>p</w:t>
      </w:r>
      <w:r w:rsidRPr="00C3282A">
        <w:rPr>
          <w:rFonts w:ascii="Traditional Arabic" w:hAnsi="Traditional Arabic" w:cs="Traditional Arabic"/>
          <w:sz w:val="32"/>
          <w:szCs w:val="32"/>
          <w:rtl/>
          <w:lang w:bidi="ar"/>
        </w:rPr>
        <w:t>, 0). وإذا كانت (</w:t>
      </w:r>
      <w:r w:rsidRPr="00C3282A">
        <w:rPr>
          <w:rFonts w:ascii="Traditional Arabic" w:hAnsi="Traditional Arabic" w:cs="Traditional Arabic"/>
          <w:i/>
          <w:iCs/>
          <w:sz w:val="32"/>
          <w:szCs w:val="32"/>
        </w:rPr>
        <w:t>x</w:t>
      </w:r>
      <w:r w:rsidRPr="00C3282A">
        <w:rPr>
          <w:rFonts w:ascii="Traditional Arabic" w:hAnsi="Traditional Arabic" w:cs="Traditional Arabic"/>
          <w:sz w:val="32"/>
          <w:szCs w:val="32"/>
          <w:rtl/>
          <w:lang w:bidi="ar"/>
        </w:rPr>
        <w:t>, </w:t>
      </w:r>
      <w:r w:rsidRPr="00C3282A">
        <w:rPr>
          <w:rFonts w:ascii="Traditional Arabic" w:hAnsi="Traditional Arabic" w:cs="Traditional Arabic"/>
          <w:i/>
          <w:iCs/>
          <w:sz w:val="32"/>
          <w:szCs w:val="32"/>
        </w:rPr>
        <w:t>y</w:t>
      </w:r>
      <w:r w:rsidRPr="00C3282A">
        <w:rPr>
          <w:rFonts w:ascii="Traditional Arabic" w:hAnsi="Traditional Arabic" w:cs="Traditional Arabic"/>
          <w:sz w:val="32"/>
          <w:szCs w:val="32"/>
          <w:rtl/>
          <w:lang w:bidi="ar"/>
        </w:rPr>
        <w:t>) نقطة تنتمي للقطع المكافئ وأنها، من تعريف بابوس للقطع المكافئ، تبعد عن البؤرة مسافة مساوية لبعدها عن الدليل</w:t>
      </w:r>
      <w:r w:rsidR="003562F9" w:rsidRPr="00C3282A">
        <w:rPr>
          <w:rFonts w:ascii="Traditional Arabic" w:hAnsi="Traditional Arabic" w:cs="Traditional Arabic" w:hint="cs"/>
          <w:sz w:val="32"/>
          <w:szCs w:val="32"/>
          <w:rtl/>
          <w:lang w:bidi="ar"/>
        </w:rPr>
        <w:t>.</w:t>
      </w:r>
      <w:r w:rsidRPr="00C3282A">
        <w:rPr>
          <w:rFonts w:ascii="Traditional Arabic" w:hAnsi="Traditional Arabic" w:cs="Traditional Arabic" w:hint="cs"/>
          <w:sz w:val="32"/>
          <w:szCs w:val="32"/>
          <w:rtl/>
          <w:lang w:bidi="ar"/>
        </w:rPr>
        <w:t xml:space="preserve"> </w:t>
      </w:r>
    </w:p>
    <w:p w:rsidR="00575DBB" w:rsidRPr="00C3282A" w:rsidRDefault="00575DBB" w:rsidP="00C3282A">
      <w:pPr>
        <w:spacing w:line="360" w:lineRule="auto"/>
        <w:jc w:val="lowKashida"/>
        <w:rPr>
          <w:rFonts w:ascii="Traditional Arabic" w:hAnsi="Traditional Arabic" w:cs="Traditional Arabic"/>
          <w:sz w:val="32"/>
          <w:szCs w:val="32"/>
          <w:rtl/>
          <w:lang w:bidi="ar"/>
        </w:rPr>
      </w:pPr>
    </w:p>
    <w:p w:rsidR="008B2BF7" w:rsidRPr="00C3282A" w:rsidRDefault="008B2BF7" w:rsidP="00C3282A">
      <w:pPr>
        <w:spacing w:line="360" w:lineRule="auto"/>
        <w:jc w:val="lowKashida"/>
        <w:rPr>
          <w:rFonts w:ascii="Traditional Arabic" w:hAnsi="Traditional Arabic" w:cs="Traditional Arabic"/>
          <w:sz w:val="32"/>
          <w:szCs w:val="32"/>
          <w:rtl/>
          <w:lang w:bidi="ar"/>
        </w:rPr>
      </w:pPr>
    </w:p>
    <w:p w:rsidR="008B2BF7" w:rsidRPr="00C3282A" w:rsidRDefault="008B2BF7" w:rsidP="00C3282A">
      <w:pPr>
        <w:spacing w:line="360" w:lineRule="auto"/>
        <w:jc w:val="lowKashida"/>
        <w:rPr>
          <w:rFonts w:ascii="Traditional Arabic" w:hAnsi="Traditional Arabic" w:cs="Traditional Arabic"/>
          <w:sz w:val="32"/>
          <w:szCs w:val="32"/>
          <w:rtl/>
          <w:lang w:bidi="ar"/>
        </w:rPr>
      </w:pPr>
    </w:p>
    <w:bookmarkEnd w:id="0"/>
    <w:p w:rsidR="008B2BF7" w:rsidRPr="00C3282A" w:rsidRDefault="008B2BF7" w:rsidP="00C3282A">
      <w:pPr>
        <w:spacing w:line="360" w:lineRule="auto"/>
        <w:jc w:val="lowKashida"/>
        <w:rPr>
          <w:rFonts w:ascii="Traditional Arabic" w:hAnsi="Traditional Arabic" w:cs="Traditional Arabic"/>
          <w:sz w:val="46"/>
          <w:szCs w:val="46"/>
          <w:lang w:bidi="ar"/>
        </w:rPr>
      </w:pPr>
    </w:p>
    <w:sectPr w:rsidR="008B2BF7" w:rsidRPr="00C3282A" w:rsidSect="00D468E8">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B44" w:rsidRDefault="00A17B44" w:rsidP="00C3282A">
      <w:pPr>
        <w:spacing w:after="0" w:line="240" w:lineRule="auto"/>
      </w:pPr>
      <w:r>
        <w:separator/>
      </w:r>
    </w:p>
  </w:endnote>
  <w:endnote w:type="continuationSeparator" w:id="0">
    <w:p w:rsidR="00A17B44" w:rsidRDefault="00A17B44" w:rsidP="00C3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B44" w:rsidRDefault="00A17B44" w:rsidP="00C3282A">
      <w:pPr>
        <w:spacing w:after="0" w:line="240" w:lineRule="auto"/>
      </w:pPr>
      <w:r>
        <w:separator/>
      </w:r>
    </w:p>
  </w:footnote>
  <w:footnote w:type="continuationSeparator" w:id="0">
    <w:p w:rsidR="00A17B44" w:rsidRDefault="00A17B44" w:rsidP="00C3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43409"/>
    <w:multiLevelType w:val="multilevel"/>
    <w:tmpl w:val="E9528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BB"/>
    <w:rsid w:val="003562F9"/>
    <w:rsid w:val="00575DBB"/>
    <w:rsid w:val="006D21C5"/>
    <w:rsid w:val="008B2BF7"/>
    <w:rsid w:val="00A17B44"/>
    <w:rsid w:val="00C3282A"/>
    <w:rsid w:val="00D46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30AF"/>
  <w15:chartTrackingRefBased/>
  <w15:docId w15:val="{3199C2E5-DEBC-426C-8E23-B0307694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DBB"/>
    <w:rPr>
      <w:color w:val="0563C1" w:themeColor="hyperlink"/>
      <w:u w:val="single"/>
    </w:rPr>
  </w:style>
  <w:style w:type="character" w:styleId="UnresolvedMention">
    <w:name w:val="Unresolved Mention"/>
    <w:basedOn w:val="DefaultParagraphFont"/>
    <w:uiPriority w:val="99"/>
    <w:semiHidden/>
    <w:unhideWhenUsed/>
    <w:rsid w:val="00575DBB"/>
    <w:rPr>
      <w:color w:val="605E5C"/>
      <w:shd w:val="clear" w:color="auto" w:fill="E1DFDD"/>
    </w:rPr>
  </w:style>
  <w:style w:type="paragraph" w:styleId="Header">
    <w:name w:val="header"/>
    <w:basedOn w:val="Normal"/>
    <w:link w:val="HeaderChar"/>
    <w:uiPriority w:val="99"/>
    <w:unhideWhenUsed/>
    <w:rsid w:val="00C32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82A"/>
  </w:style>
  <w:style w:type="paragraph" w:styleId="Footer">
    <w:name w:val="footer"/>
    <w:basedOn w:val="Normal"/>
    <w:link w:val="FooterChar"/>
    <w:uiPriority w:val="99"/>
    <w:unhideWhenUsed/>
    <w:rsid w:val="00C3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47361">
      <w:bodyDiv w:val="1"/>
      <w:marLeft w:val="0"/>
      <w:marRight w:val="0"/>
      <w:marTop w:val="0"/>
      <w:marBottom w:val="0"/>
      <w:divBdr>
        <w:top w:val="none" w:sz="0" w:space="0" w:color="auto"/>
        <w:left w:val="none" w:sz="0" w:space="0" w:color="auto"/>
        <w:bottom w:val="none" w:sz="0" w:space="0" w:color="auto"/>
        <w:right w:val="none" w:sz="0" w:space="0" w:color="auto"/>
      </w:divBdr>
      <w:divsChild>
        <w:div w:id="1053851078">
          <w:marLeft w:val="0"/>
          <w:marRight w:val="0"/>
          <w:marTop w:val="0"/>
          <w:marBottom w:val="0"/>
          <w:divBdr>
            <w:top w:val="none" w:sz="0" w:space="0" w:color="auto"/>
            <w:left w:val="none" w:sz="0" w:space="0" w:color="auto"/>
            <w:bottom w:val="none" w:sz="0" w:space="0" w:color="auto"/>
            <w:right w:val="none" w:sz="0" w:space="0" w:color="auto"/>
          </w:divBdr>
          <w:divsChild>
            <w:div w:id="136144658">
              <w:marLeft w:val="0"/>
              <w:marRight w:val="0"/>
              <w:marTop w:val="0"/>
              <w:marBottom w:val="0"/>
              <w:divBdr>
                <w:top w:val="none" w:sz="0" w:space="0" w:color="auto"/>
                <w:left w:val="none" w:sz="0" w:space="0" w:color="auto"/>
                <w:bottom w:val="none" w:sz="0" w:space="0" w:color="auto"/>
                <w:right w:val="none" w:sz="0" w:space="0" w:color="auto"/>
              </w:divBdr>
              <w:divsChild>
                <w:div w:id="1311594282">
                  <w:marLeft w:val="0"/>
                  <w:marRight w:val="0"/>
                  <w:marTop w:val="0"/>
                  <w:marBottom w:val="0"/>
                  <w:divBdr>
                    <w:top w:val="none" w:sz="0" w:space="0" w:color="auto"/>
                    <w:left w:val="none" w:sz="0" w:space="0" w:color="auto"/>
                    <w:bottom w:val="none" w:sz="0" w:space="0" w:color="auto"/>
                    <w:right w:val="none" w:sz="0" w:space="0" w:color="auto"/>
                  </w:divBdr>
                  <w:divsChild>
                    <w:div w:id="175854555">
                      <w:marLeft w:val="0"/>
                      <w:marRight w:val="336"/>
                      <w:marTop w:val="120"/>
                      <w:marBottom w:val="312"/>
                      <w:divBdr>
                        <w:top w:val="none" w:sz="0" w:space="0" w:color="auto"/>
                        <w:left w:val="none" w:sz="0" w:space="0" w:color="auto"/>
                        <w:bottom w:val="none" w:sz="0" w:space="0" w:color="auto"/>
                        <w:right w:val="none" w:sz="0" w:space="0" w:color="auto"/>
                      </w:divBdr>
                      <w:divsChild>
                        <w:div w:id="52887726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137794310">
                      <w:marLeft w:val="0"/>
                      <w:marRight w:val="336"/>
                      <w:marTop w:val="120"/>
                      <w:marBottom w:val="312"/>
                      <w:divBdr>
                        <w:top w:val="none" w:sz="0" w:space="0" w:color="auto"/>
                        <w:left w:val="none" w:sz="0" w:space="0" w:color="auto"/>
                        <w:bottom w:val="none" w:sz="0" w:space="0" w:color="auto"/>
                        <w:right w:val="none" w:sz="0" w:space="0" w:color="auto"/>
                      </w:divBdr>
                      <w:divsChild>
                        <w:div w:id="152374016">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633370052">
                      <w:marLeft w:val="0"/>
                      <w:marRight w:val="0"/>
                      <w:marTop w:val="0"/>
                      <w:marBottom w:val="0"/>
                      <w:divBdr>
                        <w:top w:val="single" w:sz="6" w:space="5" w:color="A2A9B1"/>
                        <w:left w:val="single" w:sz="6" w:space="5" w:color="A2A9B1"/>
                        <w:bottom w:val="single" w:sz="6" w:space="5" w:color="A2A9B1"/>
                        <w:right w:val="single" w:sz="6" w:space="5" w:color="A2A9B1"/>
                      </w:divBdr>
                    </w:div>
                    <w:div w:id="1721898023">
                      <w:marLeft w:val="0"/>
                      <w:marRight w:val="336"/>
                      <w:marTop w:val="120"/>
                      <w:marBottom w:val="312"/>
                      <w:divBdr>
                        <w:top w:val="none" w:sz="0" w:space="0" w:color="auto"/>
                        <w:left w:val="none" w:sz="0" w:space="0" w:color="auto"/>
                        <w:bottom w:val="none" w:sz="0" w:space="0" w:color="auto"/>
                        <w:right w:val="none" w:sz="0" w:space="0" w:color="auto"/>
                      </w:divBdr>
                      <w:divsChild>
                        <w:div w:id="47764838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85557076">
                      <w:marLeft w:val="0"/>
                      <w:marRight w:val="336"/>
                      <w:marTop w:val="120"/>
                      <w:marBottom w:val="312"/>
                      <w:divBdr>
                        <w:top w:val="none" w:sz="0" w:space="0" w:color="auto"/>
                        <w:left w:val="none" w:sz="0" w:space="0" w:color="auto"/>
                        <w:bottom w:val="none" w:sz="0" w:space="0" w:color="auto"/>
                        <w:right w:val="none" w:sz="0" w:space="0" w:color="auto"/>
                      </w:divBdr>
                      <w:divsChild>
                        <w:div w:id="650451313">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030715279">
                      <w:marLeft w:val="0"/>
                      <w:marRight w:val="336"/>
                      <w:marTop w:val="120"/>
                      <w:marBottom w:val="312"/>
                      <w:divBdr>
                        <w:top w:val="none" w:sz="0" w:space="0" w:color="auto"/>
                        <w:left w:val="none" w:sz="0" w:space="0" w:color="auto"/>
                        <w:bottom w:val="none" w:sz="0" w:space="0" w:color="auto"/>
                        <w:right w:val="none" w:sz="0" w:space="0" w:color="auto"/>
                      </w:divBdr>
                      <w:divsChild>
                        <w:div w:id="141968495">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484128961">
                      <w:marLeft w:val="0"/>
                      <w:marRight w:val="336"/>
                      <w:marTop w:val="120"/>
                      <w:marBottom w:val="312"/>
                      <w:divBdr>
                        <w:top w:val="none" w:sz="0" w:space="0" w:color="auto"/>
                        <w:left w:val="none" w:sz="0" w:space="0" w:color="auto"/>
                        <w:bottom w:val="none" w:sz="0" w:space="0" w:color="auto"/>
                        <w:right w:val="none" w:sz="0" w:space="0" w:color="auto"/>
                      </w:divBdr>
                      <w:divsChild>
                        <w:div w:id="535310560">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r.wikipedia.org/wiki/%D9%85%D9%84%D9%81:Parabel-brennp.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2018-12-02T18:08:00Z</dcterms:created>
  <dcterms:modified xsi:type="dcterms:W3CDTF">2019-01-19T00:06:00Z</dcterms:modified>
</cp:coreProperties>
</file>