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rtl/>
        </w:rPr>
        <w:id w:val="892546269"/>
        <w:docPartObj>
          <w:docPartGallery w:val="Cover Pages"/>
          <w:docPartUnique/>
        </w:docPartObj>
      </w:sdtPr>
      <w:sdtEndPr>
        <w:rPr>
          <w:rFonts w:ascii="Traditional Arabic" w:hAnsi="Traditional Arabic" w:cs="Traditional Arabic"/>
          <w:b/>
          <w:bCs/>
          <w:color w:val="auto"/>
          <w:sz w:val="44"/>
          <w:szCs w:val="44"/>
          <w:u w:val="single"/>
          <w:rtl w:val="0"/>
        </w:rPr>
      </w:sdtEndPr>
      <w:sdtContent>
        <w:p w:rsidR="00CA221B" w:rsidRDefault="00CA221B">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80"/>
              <w:szCs w:val="80"/>
              <w:rtl/>
            </w:rPr>
            <w:alias w:val="العنوان"/>
            <w:tag w:val=""/>
            <w:id w:val="1735040861"/>
            <w:placeholder>
              <w:docPart w:val="99116176A08E4D3B8EFDEC4AEECDD759"/>
            </w:placeholder>
            <w:dataBinding w:prefixMappings="xmlns:ns0='http://purl.org/dc/elements/1.1/' xmlns:ns1='http://schemas.openxmlformats.org/package/2006/metadata/core-properties' " w:xpath="/ns1:coreProperties[1]/ns0:title[1]" w:storeItemID="{6C3C8BC8-F283-45AE-878A-BAB7291924A1}"/>
            <w:text/>
          </w:sdtPr>
          <w:sdtEndPr/>
          <w:sdtContent>
            <w:p w:rsidR="00CA221B" w:rsidRPr="00CA221B" w:rsidRDefault="00CA221B" w:rsidP="00CA221B">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8"/>
                  <w:szCs w:val="88"/>
                </w:rPr>
              </w:pPr>
              <w:r w:rsidRPr="00CA221B">
                <w:rPr>
                  <w:rFonts w:asciiTheme="majorHAnsi" w:eastAsiaTheme="majorEastAsia" w:hAnsiTheme="majorHAnsi" w:cs="Times New Roman" w:hint="cs"/>
                  <w:b/>
                  <w:bCs/>
                  <w:caps/>
                  <w:color w:val="4472C4" w:themeColor="accent1"/>
                  <w:sz w:val="80"/>
                  <w:szCs w:val="80"/>
                  <w:rtl/>
                </w:rPr>
                <w:t>الكثافة</w:t>
              </w:r>
              <w:r w:rsidRPr="00CA221B">
                <w:rPr>
                  <w:rFonts w:asciiTheme="majorHAnsi" w:eastAsiaTheme="majorEastAsia" w:hAnsiTheme="majorHAnsi" w:cs="Times New Roman"/>
                  <w:b/>
                  <w:bCs/>
                  <w:caps/>
                  <w:color w:val="4472C4" w:themeColor="accent1"/>
                  <w:sz w:val="80"/>
                  <w:szCs w:val="80"/>
                  <w:rtl/>
                </w:rPr>
                <w:t xml:space="preserve"> </w:t>
              </w:r>
              <w:r w:rsidRPr="00CA221B">
                <w:rPr>
                  <w:rFonts w:asciiTheme="majorHAnsi" w:eastAsiaTheme="majorEastAsia" w:hAnsiTheme="majorHAnsi" w:cs="Times New Roman" w:hint="cs"/>
                  <w:b/>
                  <w:bCs/>
                  <w:caps/>
                  <w:color w:val="4472C4" w:themeColor="accent1"/>
                  <w:sz w:val="80"/>
                  <w:szCs w:val="80"/>
                  <w:rtl/>
                </w:rPr>
                <w:t>السكانية</w:t>
              </w:r>
              <w:r w:rsidRPr="00CA221B">
                <w:rPr>
                  <w:rFonts w:asciiTheme="majorHAnsi" w:eastAsiaTheme="majorEastAsia" w:hAnsiTheme="majorHAnsi" w:cs="Times New Roman"/>
                  <w:b/>
                  <w:bCs/>
                  <w:caps/>
                  <w:color w:val="4472C4" w:themeColor="accent1"/>
                  <w:sz w:val="80"/>
                  <w:szCs w:val="80"/>
                  <w:rtl/>
                </w:rPr>
                <w:t xml:space="preserve"> </w:t>
              </w:r>
              <w:r w:rsidRPr="00CA221B">
                <w:rPr>
                  <w:rFonts w:asciiTheme="majorHAnsi" w:eastAsiaTheme="majorEastAsia" w:hAnsiTheme="majorHAnsi" w:cs="Times New Roman" w:hint="cs"/>
                  <w:b/>
                  <w:bCs/>
                  <w:caps/>
                  <w:color w:val="4472C4" w:themeColor="accent1"/>
                  <w:sz w:val="80"/>
                  <w:szCs w:val="80"/>
                  <w:rtl/>
                </w:rPr>
                <w:t>في</w:t>
              </w:r>
              <w:r w:rsidRPr="00CA221B">
                <w:rPr>
                  <w:rFonts w:asciiTheme="majorHAnsi" w:eastAsiaTheme="majorEastAsia" w:hAnsiTheme="majorHAnsi" w:cs="Times New Roman"/>
                  <w:b/>
                  <w:bCs/>
                  <w:caps/>
                  <w:color w:val="4472C4" w:themeColor="accent1"/>
                  <w:sz w:val="80"/>
                  <w:szCs w:val="80"/>
                  <w:rtl/>
                </w:rPr>
                <w:t xml:space="preserve"> </w:t>
              </w:r>
              <w:r w:rsidRPr="00CA221B">
                <w:rPr>
                  <w:rFonts w:asciiTheme="majorHAnsi" w:eastAsiaTheme="majorEastAsia" w:hAnsiTheme="majorHAnsi" w:cs="Times New Roman" w:hint="cs"/>
                  <w:b/>
                  <w:bCs/>
                  <w:caps/>
                  <w:color w:val="4472C4" w:themeColor="accent1"/>
                  <w:sz w:val="80"/>
                  <w:szCs w:val="80"/>
                  <w:rtl/>
                </w:rPr>
                <w:t>الوطن</w:t>
              </w:r>
              <w:r w:rsidRPr="00CA221B">
                <w:rPr>
                  <w:rFonts w:asciiTheme="majorHAnsi" w:eastAsiaTheme="majorEastAsia" w:hAnsiTheme="majorHAnsi" w:cs="Times New Roman"/>
                  <w:b/>
                  <w:bCs/>
                  <w:caps/>
                  <w:color w:val="4472C4" w:themeColor="accent1"/>
                  <w:sz w:val="80"/>
                  <w:szCs w:val="80"/>
                  <w:rtl/>
                </w:rPr>
                <w:t xml:space="preserve"> </w:t>
              </w:r>
              <w:r w:rsidRPr="00CA221B">
                <w:rPr>
                  <w:rFonts w:asciiTheme="majorHAnsi" w:eastAsiaTheme="majorEastAsia" w:hAnsiTheme="majorHAnsi" w:cs="Times New Roman" w:hint="cs"/>
                  <w:b/>
                  <w:bCs/>
                  <w:caps/>
                  <w:color w:val="4472C4" w:themeColor="accent1"/>
                  <w:sz w:val="80"/>
                  <w:szCs w:val="80"/>
                  <w:rtl/>
                </w:rPr>
                <w:t>العربي</w:t>
              </w:r>
            </w:p>
          </w:sdtContent>
        </w:sdt>
        <w:p w:rsidR="00CA221B" w:rsidRDefault="00CA221B">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A221B" w:rsidRPr="00CA221B" w:rsidRDefault="00CA221B" w:rsidP="00CA221B">
                                    <w:pPr>
                                      <w:pStyle w:val="NoSpacing"/>
                                      <w:spacing w:after="40"/>
                                      <w:jc w:val="center"/>
                                      <w:rPr>
                                        <w:b/>
                                        <w:bCs/>
                                        <w:caps/>
                                        <w:color w:val="4472C4" w:themeColor="accent1"/>
                                        <w:sz w:val="38"/>
                                        <w:szCs w:val="38"/>
                                      </w:rPr>
                                    </w:pPr>
                                    <w:r w:rsidRPr="00CA221B">
                                      <w:rPr>
                                        <w:rFonts w:hint="cs"/>
                                        <w:b/>
                                        <w:bCs/>
                                        <w:caps/>
                                        <w:color w:val="4472C4" w:themeColor="accent1"/>
                                        <w:sz w:val="38"/>
                                        <w:szCs w:val="38"/>
                                        <w:rtl/>
                                      </w:rPr>
                                      <w:t xml:space="preserve">إعداد الطالب/ </w:t>
                                    </w:r>
                                    <w:r w:rsidR="009F23C8">
                                      <w:rPr>
                                        <w:rFonts w:hint="cs"/>
                                        <w:b/>
                                        <w:bCs/>
                                        <w:caps/>
                                        <w:color w:val="4472C4" w:themeColor="accent1"/>
                                        <w:sz w:val="38"/>
                                        <w:szCs w:val="38"/>
                                        <w:rtl/>
                                      </w:rPr>
                                      <w:t xml:space="preserve"> </w:t>
                                    </w:r>
                                  </w:p>
                                </w:sdtContent>
                              </w:sdt>
                              <w:p w:rsidR="00CA221B" w:rsidRPr="00CA221B" w:rsidRDefault="009F23C8">
                                <w:pPr>
                                  <w:pStyle w:val="NoSpacing"/>
                                  <w:jc w:val="center"/>
                                  <w:rPr>
                                    <w:b/>
                                    <w:bCs/>
                                    <w:color w:val="4472C4" w:themeColor="accent1"/>
                                    <w:sz w:val="32"/>
                                    <w:szCs w:val="32"/>
                                  </w:rPr>
                                </w:pPr>
                                <w:sdt>
                                  <w:sdtPr>
                                    <w:rPr>
                                      <w:b/>
                                      <w:bCs/>
                                      <w:caps/>
                                      <w:color w:val="4472C4"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A221B">
                                      <w:rPr>
                                        <w:b/>
                                        <w:bCs/>
                                        <w:caps/>
                                        <w:color w:val="4472C4" w:themeColor="accent1"/>
                                        <w:sz w:val="32"/>
                                        <w:szCs w:val="32"/>
                                        <w:rtl/>
                                      </w:rPr>
                                      <w:t xml:space="preserve">     </w:t>
                                    </w:r>
                                  </w:sdtContent>
                                </w:sdt>
                              </w:p>
                              <w:p w:rsidR="00CA221B" w:rsidRPr="00CA221B" w:rsidRDefault="009F23C8">
                                <w:pPr>
                                  <w:pStyle w:val="NoSpacing"/>
                                  <w:jc w:val="center"/>
                                  <w:rPr>
                                    <w:b/>
                                    <w:bCs/>
                                    <w:color w:val="4472C4" w:themeColor="accent1"/>
                                    <w:sz w:val="32"/>
                                    <w:szCs w:val="32"/>
                                  </w:rPr>
                                </w:pPr>
                                <w:sdt>
                                  <w:sdtPr>
                                    <w:rPr>
                                      <w:b/>
                                      <w:bCs/>
                                      <w:color w:val="4472C4"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A221B">
                                      <w:rPr>
                                        <w:b/>
                                        <w:bCs/>
                                        <w:color w:val="4472C4"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A221B" w:rsidRPr="00CA221B" w:rsidRDefault="00CA221B" w:rsidP="00CA221B">
                              <w:pPr>
                                <w:pStyle w:val="NoSpacing"/>
                                <w:spacing w:after="40"/>
                                <w:jc w:val="center"/>
                                <w:rPr>
                                  <w:b/>
                                  <w:bCs/>
                                  <w:caps/>
                                  <w:color w:val="4472C4" w:themeColor="accent1"/>
                                  <w:sz w:val="38"/>
                                  <w:szCs w:val="38"/>
                                </w:rPr>
                              </w:pPr>
                              <w:r w:rsidRPr="00CA221B">
                                <w:rPr>
                                  <w:rFonts w:hint="cs"/>
                                  <w:b/>
                                  <w:bCs/>
                                  <w:caps/>
                                  <w:color w:val="4472C4" w:themeColor="accent1"/>
                                  <w:sz w:val="38"/>
                                  <w:szCs w:val="38"/>
                                  <w:rtl/>
                                </w:rPr>
                                <w:t xml:space="preserve">إعداد الطالب/ </w:t>
                              </w:r>
                              <w:r w:rsidR="009F23C8">
                                <w:rPr>
                                  <w:rFonts w:hint="cs"/>
                                  <w:b/>
                                  <w:bCs/>
                                  <w:caps/>
                                  <w:color w:val="4472C4" w:themeColor="accent1"/>
                                  <w:sz w:val="38"/>
                                  <w:szCs w:val="38"/>
                                  <w:rtl/>
                                </w:rPr>
                                <w:t xml:space="preserve"> </w:t>
                              </w:r>
                            </w:p>
                          </w:sdtContent>
                        </w:sdt>
                        <w:p w:rsidR="00CA221B" w:rsidRPr="00CA221B" w:rsidRDefault="009F23C8">
                          <w:pPr>
                            <w:pStyle w:val="NoSpacing"/>
                            <w:jc w:val="center"/>
                            <w:rPr>
                              <w:b/>
                              <w:bCs/>
                              <w:color w:val="4472C4" w:themeColor="accent1"/>
                              <w:sz w:val="32"/>
                              <w:szCs w:val="32"/>
                            </w:rPr>
                          </w:pPr>
                          <w:sdt>
                            <w:sdtPr>
                              <w:rPr>
                                <w:b/>
                                <w:bCs/>
                                <w:caps/>
                                <w:color w:val="4472C4"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A221B">
                                <w:rPr>
                                  <w:b/>
                                  <w:bCs/>
                                  <w:caps/>
                                  <w:color w:val="4472C4" w:themeColor="accent1"/>
                                  <w:sz w:val="32"/>
                                  <w:szCs w:val="32"/>
                                  <w:rtl/>
                                </w:rPr>
                                <w:t xml:space="preserve">     </w:t>
                              </w:r>
                            </w:sdtContent>
                          </w:sdt>
                        </w:p>
                        <w:p w:rsidR="00CA221B" w:rsidRPr="00CA221B" w:rsidRDefault="009F23C8">
                          <w:pPr>
                            <w:pStyle w:val="NoSpacing"/>
                            <w:jc w:val="center"/>
                            <w:rPr>
                              <w:b/>
                              <w:bCs/>
                              <w:color w:val="4472C4" w:themeColor="accent1"/>
                              <w:sz w:val="32"/>
                              <w:szCs w:val="32"/>
                            </w:rPr>
                          </w:pPr>
                          <w:sdt>
                            <w:sdtPr>
                              <w:rPr>
                                <w:b/>
                                <w:bCs/>
                                <w:color w:val="4472C4"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A221B">
                                <w:rPr>
                                  <w:b/>
                                  <w:bCs/>
                                  <w:color w:val="4472C4" w:themeColor="accent1"/>
                                  <w:sz w:val="32"/>
                                  <w:szCs w:val="32"/>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CA221B" w:rsidRDefault="00CA221B">
          <w:pPr>
            <w:bidi w:val="0"/>
            <w:rPr>
              <w:rFonts w:ascii="Traditional Arabic" w:hAnsi="Traditional Arabic" w:cs="Traditional Arabic"/>
              <w:b/>
              <w:bCs/>
              <w:sz w:val="44"/>
              <w:szCs w:val="44"/>
              <w:u w:val="single"/>
            </w:rPr>
          </w:pPr>
        </w:p>
        <w:p w:rsidR="00CA221B" w:rsidRDefault="00CA221B" w:rsidP="00CA221B">
          <w:pPr>
            <w:bidi w:val="0"/>
            <w:rPr>
              <w:rFonts w:ascii="Traditional Arabic" w:hAnsi="Traditional Arabic" w:cs="Traditional Arabic"/>
              <w:b/>
              <w:bCs/>
              <w:sz w:val="44"/>
              <w:szCs w:val="44"/>
              <w:u w:val="single"/>
            </w:rPr>
          </w:pPr>
        </w:p>
        <w:p w:rsidR="00CA221B" w:rsidRDefault="00CA221B" w:rsidP="00CA221B">
          <w:pPr>
            <w:bidi w:val="0"/>
            <w:rPr>
              <w:rFonts w:ascii="Traditional Arabic" w:hAnsi="Traditional Arabic" w:cs="Traditional Arabic"/>
              <w:b/>
              <w:bCs/>
              <w:sz w:val="44"/>
              <w:szCs w:val="44"/>
              <w:u w:val="single"/>
            </w:rPr>
          </w:pPr>
        </w:p>
        <w:p w:rsidR="00CA221B" w:rsidRDefault="00CA221B" w:rsidP="00CA221B">
          <w:pPr>
            <w:bidi w:val="0"/>
            <w:rPr>
              <w:rFonts w:ascii="Traditional Arabic" w:hAnsi="Traditional Arabic" w:cs="Traditional Arabic"/>
              <w:b/>
              <w:bCs/>
              <w:sz w:val="44"/>
              <w:szCs w:val="44"/>
              <w:u w:val="single"/>
            </w:rPr>
          </w:pPr>
        </w:p>
        <w:p w:rsidR="00CA221B" w:rsidRDefault="00CA221B" w:rsidP="00CA221B">
          <w:pPr>
            <w:bidi w:val="0"/>
            <w:rPr>
              <w:rFonts w:ascii="Traditional Arabic" w:hAnsi="Traditional Arabic" w:cs="Traditional Arabic"/>
              <w:b/>
              <w:bCs/>
              <w:sz w:val="44"/>
              <w:szCs w:val="44"/>
              <w:u w:val="single"/>
            </w:rPr>
          </w:pPr>
        </w:p>
        <w:p w:rsidR="00CA221B" w:rsidRDefault="00CA221B" w:rsidP="00CA221B">
          <w:pPr>
            <w:bidi w:val="0"/>
            <w:rPr>
              <w:rFonts w:ascii="Traditional Arabic" w:hAnsi="Traditional Arabic" w:cs="Traditional Arabic"/>
              <w:b/>
              <w:bCs/>
              <w:sz w:val="44"/>
              <w:szCs w:val="44"/>
              <w:u w:val="single"/>
            </w:rPr>
          </w:pPr>
        </w:p>
        <w:p w:rsidR="00CA221B" w:rsidRDefault="00CA221B" w:rsidP="00CA221B">
          <w:pPr>
            <w:bidi w:val="0"/>
            <w:rPr>
              <w:rFonts w:ascii="Traditional Arabic" w:hAnsi="Traditional Arabic" w:cs="Traditional Arabic"/>
              <w:b/>
              <w:bCs/>
              <w:sz w:val="44"/>
              <w:szCs w:val="44"/>
              <w:u w:val="single"/>
            </w:rPr>
          </w:pPr>
        </w:p>
        <w:p w:rsidR="00CA221B" w:rsidRDefault="009F23C8" w:rsidP="00CA221B">
          <w:pPr>
            <w:bidi w:val="0"/>
            <w:rPr>
              <w:rFonts w:ascii="Traditional Arabic" w:hAnsi="Traditional Arabic" w:cs="Traditional Arabic"/>
              <w:b/>
              <w:bCs/>
              <w:sz w:val="44"/>
              <w:szCs w:val="44"/>
              <w:u w:val="single"/>
              <w:rtl/>
            </w:rPr>
          </w:pPr>
        </w:p>
      </w:sdtContent>
    </w:sdt>
    <w:p w:rsidR="00CA221B" w:rsidRPr="00CA221B" w:rsidRDefault="00CA221B" w:rsidP="00CA221B">
      <w:pPr>
        <w:spacing w:line="360" w:lineRule="auto"/>
        <w:jc w:val="center"/>
        <w:rPr>
          <w:rFonts w:ascii="Traditional Arabic" w:hAnsi="Traditional Arabic" w:cs="Traditional Arabic"/>
          <w:b/>
          <w:bCs/>
          <w:sz w:val="44"/>
          <w:szCs w:val="44"/>
          <w:u w:val="single"/>
          <w:rtl/>
        </w:rPr>
      </w:pPr>
      <w:bookmarkStart w:id="0" w:name="_GoBack"/>
      <w:r w:rsidRPr="00CA221B">
        <w:rPr>
          <w:rFonts w:ascii="Traditional Arabic" w:hAnsi="Traditional Arabic" w:cs="Traditional Arabic" w:hint="cs"/>
          <w:b/>
          <w:bCs/>
          <w:sz w:val="44"/>
          <w:szCs w:val="44"/>
          <w:u w:val="single"/>
          <w:rtl/>
        </w:rPr>
        <w:lastRenderedPageBreak/>
        <w:t>الكثافة</w:t>
      </w:r>
      <w:r w:rsidRPr="00CA221B">
        <w:rPr>
          <w:rFonts w:ascii="Traditional Arabic" w:hAnsi="Traditional Arabic" w:cs="Traditional Arabic"/>
          <w:b/>
          <w:bCs/>
          <w:sz w:val="44"/>
          <w:szCs w:val="44"/>
          <w:u w:val="single"/>
          <w:rtl/>
        </w:rPr>
        <w:t xml:space="preserve"> </w:t>
      </w:r>
      <w:r w:rsidRPr="00CA221B">
        <w:rPr>
          <w:rFonts w:ascii="Traditional Arabic" w:hAnsi="Traditional Arabic" w:cs="Traditional Arabic" w:hint="cs"/>
          <w:b/>
          <w:bCs/>
          <w:sz w:val="44"/>
          <w:szCs w:val="44"/>
          <w:u w:val="single"/>
          <w:rtl/>
        </w:rPr>
        <w:t>السكانية</w:t>
      </w:r>
      <w:r w:rsidRPr="00CA221B">
        <w:rPr>
          <w:rFonts w:ascii="Traditional Arabic" w:hAnsi="Traditional Arabic" w:cs="Traditional Arabic"/>
          <w:b/>
          <w:bCs/>
          <w:sz w:val="44"/>
          <w:szCs w:val="44"/>
          <w:u w:val="single"/>
          <w:rtl/>
        </w:rPr>
        <w:t xml:space="preserve"> </w:t>
      </w:r>
      <w:r w:rsidRPr="00CA221B">
        <w:rPr>
          <w:rFonts w:ascii="Traditional Arabic" w:hAnsi="Traditional Arabic" w:cs="Traditional Arabic" w:hint="cs"/>
          <w:b/>
          <w:bCs/>
          <w:sz w:val="44"/>
          <w:szCs w:val="44"/>
          <w:u w:val="single"/>
          <w:rtl/>
        </w:rPr>
        <w:t>في</w:t>
      </w:r>
      <w:r w:rsidRPr="00CA221B">
        <w:rPr>
          <w:rFonts w:ascii="Traditional Arabic" w:hAnsi="Traditional Arabic" w:cs="Traditional Arabic"/>
          <w:b/>
          <w:bCs/>
          <w:sz w:val="44"/>
          <w:szCs w:val="44"/>
          <w:u w:val="single"/>
          <w:rtl/>
        </w:rPr>
        <w:t xml:space="preserve"> </w:t>
      </w:r>
      <w:r w:rsidRPr="00CA221B">
        <w:rPr>
          <w:rFonts w:ascii="Traditional Arabic" w:hAnsi="Traditional Arabic" w:cs="Traditional Arabic" w:hint="cs"/>
          <w:b/>
          <w:bCs/>
          <w:sz w:val="44"/>
          <w:szCs w:val="44"/>
          <w:u w:val="single"/>
          <w:rtl/>
        </w:rPr>
        <w:t>الوطن</w:t>
      </w:r>
      <w:r w:rsidRPr="00CA221B">
        <w:rPr>
          <w:rFonts w:ascii="Traditional Arabic" w:hAnsi="Traditional Arabic" w:cs="Traditional Arabic"/>
          <w:b/>
          <w:bCs/>
          <w:sz w:val="44"/>
          <w:szCs w:val="44"/>
          <w:u w:val="single"/>
          <w:rtl/>
        </w:rPr>
        <w:t xml:space="preserve"> </w:t>
      </w:r>
      <w:r w:rsidRPr="00CA221B">
        <w:rPr>
          <w:rFonts w:ascii="Traditional Arabic" w:hAnsi="Traditional Arabic" w:cs="Traditional Arabic" w:hint="cs"/>
          <w:b/>
          <w:bCs/>
          <w:sz w:val="44"/>
          <w:szCs w:val="44"/>
          <w:u w:val="single"/>
          <w:rtl/>
        </w:rPr>
        <w:t>العربي</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يعتبر الوطن العربي مهد الحضارات، وقد أدت الهجرات التي أملت عليها ندرة المياه والجفاف إلى انتقال السكان على طول البحر الأحمر إلى شمال شبه الجزيرة العربية والشمال الإفريقي، وجنوباً إلى بحر العرب وشرق أفريقيا وجنوب شرق إفريقيا ثمّ صعوداً إلى الخليج.</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يبلغ عدد سكان الوطن العربي حالياّ حوالي (287) مليون نسمة، بما يشكّل (5%) من إجمالي سكان العالم. ويمكن القول أن كافة أقطاره متشابهة اجتماعياّ، لغوياّ، وديموغرافياّ، ويضم عموماّ معدلات زواج مرتفعه، وزواج مبكر يليه حمل مباشر وغير متباعد؛ مما يزيد ارتفاع معدلات الزيادة السكانية، وزيادة في معدلات الشباب؛ الأمر الذي يقود إلى زيادة الأعباء والتبعية والاتكال، وشيوع الأمية خاصة بين النساء في الوطن العربي.</w:t>
      </w:r>
    </w:p>
    <w:p w:rsidR="00CA221B" w:rsidRPr="00CA221B" w:rsidRDefault="00CA221B" w:rsidP="00CA221B">
      <w:pPr>
        <w:spacing w:line="360" w:lineRule="auto"/>
        <w:jc w:val="mediumKashida"/>
        <w:rPr>
          <w:rFonts w:ascii="Traditional Arabic" w:hAnsi="Traditional Arabic" w:cs="Traditional Arabic"/>
          <w:sz w:val="36"/>
          <w:szCs w:val="36"/>
          <w:rtl/>
        </w:rPr>
      </w:pPr>
    </w:p>
    <w:p w:rsidR="00CA221B" w:rsidRPr="00CA221B" w:rsidRDefault="00CA221B" w:rsidP="00CA221B">
      <w:pPr>
        <w:spacing w:line="360" w:lineRule="auto"/>
        <w:jc w:val="mediumKashida"/>
        <w:rPr>
          <w:rFonts w:ascii="Traditional Arabic" w:hAnsi="Traditional Arabic" w:cs="Traditional Arabic"/>
          <w:b/>
          <w:bCs/>
          <w:sz w:val="36"/>
          <w:szCs w:val="36"/>
          <w:u w:val="single"/>
          <w:rtl/>
        </w:rPr>
      </w:pPr>
      <w:r w:rsidRPr="00CA221B">
        <w:rPr>
          <w:rFonts w:ascii="Traditional Arabic" w:hAnsi="Traditional Arabic" w:cs="Traditional Arabic"/>
          <w:b/>
          <w:bCs/>
          <w:sz w:val="36"/>
          <w:szCs w:val="36"/>
          <w:u w:val="single"/>
          <w:rtl/>
        </w:rPr>
        <w:t>النمو السكاني</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 xml:space="preserve">قدّر مجموع السكّان في الدول العربيّة في منتصف القرن العشرين بحوالي (76 ) مليون نسمه، بمعدّل زيادة سنويّة قدره (2.5 %) لتصـل إلـى ما يزيد عن (144 ) مليون نسمه عام 1975 ( تقريباً ضعف العدد خلال 25 عام). وقد ارتفع معدّل </w:t>
      </w:r>
      <w:r w:rsidRPr="00CA221B">
        <w:rPr>
          <w:rFonts w:ascii="Traditional Arabic" w:hAnsi="Traditional Arabic" w:cs="Traditional Arabic"/>
          <w:sz w:val="36"/>
          <w:szCs w:val="36"/>
          <w:rtl/>
        </w:rPr>
        <w:lastRenderedPageBreak/>
        <w:t>هذه الزيادة إلى ( ‌‌2.7 %) بين عاميّ 1975 ـ2000 حيث قدّر عدد السكّان في الوطن العربي عام 2000 حوالي (284 ) مليون نسمه. تزايد النمو السكّاني بنسبة (‌2.9 %) خلال النصف الثاني من القرن الماضي مرتفعه جدّاً إذا ما قورنت بمعدلات النمو السكّاني في الدول الأخرى والتي بلغت أقل من (3 %) لنفس الفترة. هذا النمو السكّاني المرتفع ما هو إلاّ نتيجةً لجهود لخفض معدلات الوفاة مقترناً بمجتمعات فتيّة واستمرارية لمعـدلات الخصوبة المرتفعة . وإثر التغيّرات السياسيّة الكبيرة التي طرأت على الدول العربية؛ ومستفيدة من تجارب العالم الغربي في التأكيد على الصحة العامة والسيطرة على معدلات الوفاة؛ فقد عمدت الدول العربية لاتخاذ إجراءات وسياسات من أجل رفع المستوى المعيشي للسكّان إثر انتهاء الحرب العالمية الثانية وبعدها في مجال الصحة العامة، والسيطرة على معدلات الوفاة.</w:t>
      </w:r>
    </w:p>
    <w:p w:rsidR="00CA221B" w:rsidRPr="00CA221B" w:rsidRDefault="00CA221B" w:rsidP="00CA221B">
      <w:pPr>
        <w:spacing w:line="360" w:lineRule="auto"/>
        <w:jc w:val="mediumKashida"/>
        <w:rPr>
          <w:rFonts w:ascii="Traditional Arabic" w:hAnsi="Traditional Arabic" w:cs="Traditional Arabic"/>
          <w:b/>
          <w:bCs/>
          <w:sz w:val="36"/>
          <w:szCs w:val="36"/>
          <w:u w:val="single"/>
          <w:rtl/>
        </w:rPr>
      </w:pPr>
      <w:r w:rsidRPr="00CA221B">
        <w:rPr>
          <w:rFonts w:ascii="Traditional Arabic" w:hAnsi="Traditional Arabic" w:cs="Traditional Arabic"/>
          <w:b/>
          <w:bCs/>
          <w:sz w:val="36"/>
          <w:szCs w:val="36"/>
          <w:u w:val="single"/>
          <w:rtl/>
        </w:rPr>
        <w:t>توزيع السكان</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يتوزع الوطن العربي على اثنين وعشرين دولة ممتدّة من الخليج العربي شرقاً إلى المحيـط الأطلسي غرباً بمساحة كاملة قدّرت بـ ( 14 ) مليون كيلو متر مربع. وجميع الدول العربية أعضاء في جامعة الدول العربية ، ويمكن توزيع دول الوطن العربي جغرافياً إلى أربع مجموعات وهي التالية :</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1ـ وادي النيل والقرن الأفريقي ويضم : مصر، السودان، الصومال، جزر القمر، جيبوتي.</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lastRenderedPageBreak/>
        <w:t>2ـ شمال أفريقيا ويضم : ليبيا، تونس، الجزائر، المغرب، وموريتانيا.</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3ـ الهلال الخصيب ويضم : العراق، سوريا، الأردن، لبنان، فلسطين.</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4ـ شبه الجزيرة العربية ودول الخليج العربي ويضم : المملكة العربية السعودية، اليمن، عمان، الإمارات العربية المتحدة، قطر، البحرين، والكويت.</w:t>
      </w:r>
    </w:p>
    <w:p w:rsidR="00CA221B" w:rsidRPr="00CA221B" w:rsidRDefault="00CA221B" w:rsidP="00CA221B">
      <w:pPr>
        <w:spacing w:line="360" w:lineRule="auto"/>
        <w:jc w:val="mediumKashida"/>
        <w:rPr>
          <w:rFonts w:ascii="Traditional Arabic" w:hAnsi="Traditional Arabic" w:cs="Traditional Arabic"/>
          <w:sz w:val="36"/>
          <w:szCs w:val="36"/>
          <w:rtl/>
        </w:rPr>
      </w:pPr>
      <w:r w:rsidRPr="00CA221B">
        <w:rPr>
          <w:rFonts w:ascii="Traditional Arabic" w:hAnsi="Traditional Arabic" w:cs="Traditional Arabic"/>
          <w:sz w:val="36"/>
          <w:szCs w:val="36"/>
          <w:rtl/>
        </w:rPr>
        <w:t>واستناداً لتقديرات السكان عام 2000 ، بلغ عدد سكان المجموعة الأولى ( 109 ) مليون نسمه أو ( 38 % ) من إجمالي عدد السكان في الوطن العربي، وتتناقص نسبة هذه المجموعة والتي بلــغت ( 44 %) عام 1950 من مجموع السكان الإجمالي ليصل حسب ما هو متوقع له إلى ( 34 %) مع منتصف القرن الحادي والعشرين . يشكل سكان شمال أفريقيا ربع سكان الوطن العربي بنسبة ( 27 %) مع عام 2000، نزولاً من نسبة ( 30 %) عام 1950، وتوقع نسبة ( 20 % ) من سكان العالم العربي بحلول عام 2050 . أما سكان الهلال الخصيب وشبه الجزيرة العربيّـة والخليج العربي فيشكلون ما تبقى من مجموع السكان الإجمالي بتقديرات متساوية تتراوح بين 17 ـ 18 % لكل مجموعة.</w:t>
      </w:r>
    </w:p>
    <w:p w:rsidR="00CA221B" w:rsidRPr="00CA221B" w:rsidRDefault="00CA221B" w:rsidP="00CA221B">
      <w:pPr>
        <w:spacing w:line="360" w:lineRule="auto"/>
        <w:jc w:val="mediumKashida"/>
        <w:rPr>
          <w:rFonts w:ascii="Traditional Arabic" w:hAnsi="Traditional Arabic" w:cs="Traditional Arabic"/>
          <w:sz w:val="36"/>
          <w:szCs w:val="36"/>
        </w:rPr>
      </w:pPr>
      <w:r w:rsidRPr="00CA221B">
        <w:rPr>
          <w:rFonts w:ascii="Traditional Arabic" w:hAnsi="Traditional Arabic" w:cs="Traditional Arabic"/>
          <w:sz w:val="36"/>
          <w:szCs w:val="36"/>
          <w:rtl/>
        </w:rPr>
        <w:t xml:space="preserve">وتعتبر مصر أكثر الدول العربيـة سكاناً وبنسبة 28 % من إجمالي السكان العرب عام 1950 . وتحتـل الجزائر والسـودان والمغرب المركـز الثاني في حجم السكـان والذي يتراوح بيـن ( 11 ـ 12 %) لكل دولة، وتأتي العراق في المرتبة الخامسة ( </w:t>
      </w:r>
      <w:r w:rsidRPr="00CA221B">
        <w:rPr>
          <w:rFonts w:ascii="Traditional Arabic" w:hAnsi="Traditional Arabic" w:cs="Traditional Arabic"/>
          <w:sz w:val="36"/>
          <w:szCs w:val="36"/>
          <w:rtl/>
        </w:rPr>
        <w:lastRenderedPageBreak/>
        <w:t>7%) ، ثم اليمن، تونس، سوريا والمملكة العربيّـة السعودية بنسب تتراوح بيـن (5 ـ6 %) لكل دولة. أما لبنان، الأردن، ليبيا، موريتانيا، والأراضي الفلسطينية المحتلة فتتراوح جميعها بنسبة ( 7 %)؛ في الوقت الذي تشكل فيه البحرين، جزر القمر، جيبوتي، قطر، والإمارات العربيّة المتحدة أقل مـن ( 1 %) مجتمعة من مجموع السكان العرب.</w:t>
      </w:r>
      <w:bookmarkEnd w:id="0"/>
    </w:p>
    <w:sectPr w:rsidR="00CA221B" w:rsidRPr="00CA221B" w:rsidSect="00CA221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1B"/>
    <w:rsid w:val="009F23C8"/>
    <w:rsid w:val="00CA221B"/>
    <w:rsid w:val="00FB1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FB24"/>
  <w15:chartTrackingRefBased/>
  <w15:docId w15:val="{0584D4B1-FB24-49EC-8C1B-47D8C4AF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A221B"/>
    <w:pPr>
      <w:bidi/>
      <w:spacing w:after="0" w:line="240" w:lineRule="auto"/>
    </w:pPr>
    <w:rPr>
      <w:rFonts w:eastAsiaTheme="minorEastAsia"/>
    </w:rPr>
  </w:style>
  <w:style w:type="character" w:customStyle="1" w:styleId="NoSpacingChar">
    <w:name w:val="No Spacing Char"/>
    <w:basedOn w:val="DefaultParagraphFont"/>
    <w:link w:val="NoSpacing"/>
    <w:uiPriority w:val="1"/>
    <w:rsid w:val="00CA221B"/>
    <w:rPr>
      <w:rFonts w:eastAsiaTheme="minorEastAsia"/>
    </w:rPr>
  </w:style>
  <w:style w:type="paragraph" w:styleId="BalloonText">
    <w:name w:val="Balloon Text"/>
    <w:basedOn w:val="Normal"/>
    <w:link w:val="BalloonTextChar"/>
    <w:uiPriority w:val="99"/>
    <w:semiHidden/>
    <w:unhideWhenUsed/>
    <w:rsid w:val="00CA221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A221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116176A08E4D3B8EFDEC4AEECDD759"/>
        <w:category>
          <w:name w:val="عام"/>
          <w:gallery w:val="placeholder"/>
        </w:category>
        <w:types>
          <w:type w:val="bbPlcHdr"/>
        </w:types>
        <w:behaviors>
          <w:behavior w:val="content"/>
        </w:behaviors>
        <w:guid w:val="{BBDECA01-14E7-457A-BD81-3F0DFF079968}"/>
      </w:docPartPr>
      <w:docPartBody>
        <w:p w:rsidR="00C8093C" w:rsidRDefault="00B66A00" w:rsidP="00B66A00">
          <w:pPr>
            <w:pStyle w:val="99116176A08E4D3B8EFDEC4AEECDD759"/>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00"/>
    <w:rsid w:val="00B66A00"/>
    <w:rsid w:val="00C8093C"/>
    <w:rsid w:val="00CE16BE"/>
    <w:rsid w:val="00EF3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116176A08E4D3B8EFDEC4AEECDD759">
    <w:name w:val="99116176A08E4D3B8EFDEC4AEECDD759"/>
    <w:rsid w:val="00B66A00"/>
    <w:pPr>
      <w:bidi/>
    </w:pPr>
  </w:style>
  <w:style w:type="paragraph" w:customStyle="1" w:styleId="640847AE65F8439DBFFFD68F5932B3A1">
    <w:name w:val="640847AE65F8439DBFFFD68F5932B3A1"/>
    <w:rsid w:val="00B66A0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الكثافة السكانية في الوطن العربي</dc:title>
  <dc:subject/>
  <dc:creator>hp</dc:creator>
  <cp:keywords/>
  <dc:description/>
  <cp:lastModifiedBy>SilverLine</cp:lastModifiedBy>
  <cp:revision>3</cp:revision>
  <cp:lastPrinted>2018-02-19T18:50:00Z</cp:lastPrinted>
  <dcterms:created xsi:type="dcterms:W3CDTF">2018-02-19T18:48:00Z</dcterms:created>
  <dcterms:modified xsi:type="dcterms:W3CDTF">2019-01-18T23:59:00Z</dcterms:modified>
</cp:coreProperties>
</file>