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091" w:rsidRPr="008252D7" w:rsidRDefault="00733925" w:rsidP="008F7B8D">
      <w:pPr>
        <w:spacing w:after="0" w:line="360" w:lineRule="auto"/>
        <w:jc w:val="center"/>
        <w:rPr>
          <w:rFonts w:ascii="Traditional Arabic" w:hAnsi="Traditional Arabic" w:cs="Traditional Arabic"/>
          <w:b/>
          <w:bCs/>
          <w:color w:val="000000" w:themeColor="text1"/>
          <w:sz w:val="48"/>
          <w:szCs w:val="48"/>
          <w:u w:val="single"/>
          <w:rtl/>
        </w:rPr>
      </w:pPr>
      <w:r w:rsidRPr="008252D7">
        <w:rPr>
          <w:rFonts w:ascii="Traditional Arabic" w:hAnsi="Traditional Arabic" w:cs="Traditional Arabic"/>
          <w:b/>
          <w:bCs/>
          <w:color w:val="000000" w:themeColor="text1"/>
          <w:sz w:val="48"/>
          <w:szCs w:val="48"/>
          <w:u w:val="single"/>
          <w:rtl/>
        </w:rPr>
        <w:t>البناء الضوئي</w:t>
      </w:r>
    </w:p>
    <w:p w:rsidR="00832091" w:rsidRPr="008252D7" w:rsidRDefault="00832091" w:rsidP="00832091">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ورقة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النبتة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هي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الموقع</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الأولي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لعملية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التمثيل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الضوئي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النباتات</w:t>
      </w:r>
      <w:r w:rsidRPr="008252D7">
        <w:rPr>
          <w:rFonts w:ascii="Traditional Arabic" w:hAnsi="Traditional Arabic" w:cs="Traditional Arabic"/>
          <w:color w:val="000000" w:themeColor="text1"/>
          <w:sz w:val="40"/>
          <w:szCs w:val="40"/>
          <w:rtl/>
        </w:rPr>
        <w:t>.</w:t>
      </w:r>
    </w:p>
    <w:p w:rsidR="00832091" w:rsidRPr="008252D7" w:rsidRDefault="00832091" w:rsidP="008F7B8D">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البِناء</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الضوئي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التمثيل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التخليق</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التركيب</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الضوئي</w:t>
      </w:r>
      <w:r w:rsidRPr="008252D7">
        <w:rPr>
          <w:rFonts w:ascii="Traditional Arabic" w:hAnsi="Traditional Arabic" w:cs="Traditional Arabic"/>
          <w:color w:val="000000" w:themeColor="text1"/>
          <w:sz w:val="40"/>
          <w:szCs w:val="40"/>
          <w:rtl/>
        </w:rPr>
        <w:t>) (</w:t>
      </w:r>
      <w:r w:rsidRPr="008252D7">
        <w:rPr>
          <w:rFonts w:ascii="Traditional Arabic" w:hAnsi="Traditional Arabic" w:cs="Traditional Arabic" w:hint="cs"/>
          <w:color w:val="000000" w:themeColor="text1"/>
          <w:sz w:val="40"/>
          <w:szCs w:val="40"/>
          <w:rtl/>
        </w:rPr>
        <w:t>باللاتينية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Photosynthesis</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عملية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كيميائية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معقدة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تحدث</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خلايا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البكتيريا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الزرقاء</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صانعات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اليخضور</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الصانعات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الخضراء</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الكلوروبلاست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الطحالب</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والنباتات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العليا؛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حيث</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يتم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فيها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تحويل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الطاقة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الضوئية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الشمسية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طاقة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كهرومغناطيسية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على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شكل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فوتونات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أشعة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الشمس</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إلى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طاقة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كيميائية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تخزن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روابط</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سكر</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الجلوكوز</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وفق</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المعادلة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التالية</w:t>
      </w:r>
      <w:r w:rsidRPr="008252D7">
        <w:rPr>
          <w:rFonts w:ascii="Traditional Arabic" w:hAnsi="Traditional Arabic" w:cs="Traditional Arabic"/>
          <w:color w:val="000000" w:themeColor="text1"/>
          <w:sz w:val="40"/>
          <w:szCs w:val="40"/>
          <w:rtl/>
        </w:rPr>
        <w:t>:</w:t>
      </w:r>
    </w:p>
    <w:p w:rsidR="00832091" w:rsidRPr="008252D7" w:rsidRDefault="00832091" w:rsidP="008F7B8D">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6</w:t>
      </w:r>
      <w:r w:rsidRPr="008252D7">
        <w:rPr>
          <w:rFonts w:ascii="Traditional Arabic" w:hAnsi="Traditional Arabic" w:cs="Traditional Arabic"/>
          <w:color w:val="000000" w:themeColor="text1"/>
          <w:sz w:val="40"/>
          <w:szCs w:val="40"/>
        </w:rPr>
        <w:t>CO2 + 6H2O + light + chloroplasts = C6H12O6 + 6O2</w:t>
      </w:r>
    </w:p>
    <w:p w:rsidR="00DE45FC" w:rsidRPr="008252D7" w:rsidRDefault="00DE45FC" w:rsidP="008F7B8D">
      <w:pPr>
        <w:spacing w:after="0" w:line="360" w:lineRule="auto"/>
        <w:rPr>
          <w:rFonts w:ascii="Traditional Arabic" w:hAnsi="Traditional Arabic" w:cs="Traditional Arabic"/>
          <w:color w:val="000000" w:themeColor="text1"/>
          <w:sz w:val="40"/>
          <w:szCs w:val="40"/>
          <w:rtl/>
        </w:rPr>
      </w:pPr>
    </w:p>
    <w:p w:rsidR="00832091" w:rsidRPr="008252D7" w:rsidRDefault="00832091" w:rsidP="008F7B8D">
      <w:pPr>
        <w:spacing w:after="0" w:line="360" w:lineRule="auto"/>
        <w:rPr>
          <w:rFonts w:ascii="Traditional Arabic" w:hAnsi="Traditional Arabic" w:cs="Traditional Arabic"/>
          <w:b/>
          <w:bCs/>
          <w:color w:val="000000" w:themeColor="text1"/>
          <w:sz w:val="40"/>
          <w:szCs w:val="40"/>
          <w:rtl/>
        </w:rPr>
      </w:pPr>
      <w:r w:rsidRPr="008252D7">
        <w:rPr>
          <w:rFonts w:ascii="Traditional Arabic" w:hAnsi="Traditional Arabic" w:cs="Traditional Arabic" w:hint="cs"/>
          <w:b/>
          <w:bCs/>
          <w:color w:val="000000" w:themeColor="text1"/>
          <w:sz w:val="40"/>
          <w:szCs w:val="40"/>
          <w:rtl/>
        </w:rPr>
        <w:t>ومن</w:t>
      </w:r>
      <w:r w:rsidRPr="008252D7">
        <w:rPr>
          <w:rFonts w:ascii="Traditional Arabic" w:hAnsi="Traditional Arabic" w:cs="Traditional Arabic"/>
          <w:b/>
          <w:bCs/>
          <w:color w:val="000000" w:themeColor="text1"/>
          <w:sz w:val="40"/>
          <w:szCs w:val="40"/>
          <w:rtl/>
        </w:rPr>
        <w:t xml:space="preserve"> </w:t>
      </w:r>
      <w:r w:rsidRPr="008252D7">
        <w:rPr>
          <w:rFonts w:ascii="Traditional Arabic" w:hAnsi="Traditional Arabic" w:cs="Traditional Arabic" w:hint="cs"/>
          <w:b/>
          <w:bCs/>
          <w:color w:val="000000" w:themeColor="text1"/>
          <w:sz w:val="40"/>
          <w:szCs w:val="40"/>
          <w:rtl/>
        </w:rPr>
        <w:t>أهم</w:t>
      </w:r>
      <w:r w:rsidRPr="008252D7">
        <w:rPr>
          <w:rFonts w:ascii="Traditional Arabic" w:hAnsi="Traditional Arabic" w:cs="Traditional Arabic"/>
          <w:b/>
          <w:bCs/>
          <w:color w:val="000000" w:themeColor="text1"/>
          <w:sz w:val="40"/>
          <w:szCs w:val="40"/>
          <w:rtl/>
        </w:rPr>
        <w:t xml:space="preserve"> </w:t>
      </w:r>
      <w:r w:rsidRPr="008252D7">
        <w:rPr>
          <w:rFonts w:ascii="Traditional Arabic" w:hAnsi="Traditional Arabic" w:cs="Traditional Arabic" w:hint="cs"/>
          <w:b/>
          <w:bCs/>
          <w:color w:val="000000" w:themeColor="text1"/>
          <w:sz w:val="40"/>
          <w:szCs w:val="40"/>
          <w:rtl/>
        </w:rPr>
        <w:t>نواتج</w:t>
      </w:r>
      <w:r w:rsidRPr="008252D7">
        <w:rPr>
          <w:rFonts w:ascii="Traditional Arabic" w:hAnsi="Traditional Arabic" w:cs="Traditional Arabic"/>
          <w:b/>
          <w:bCs/>
          <w:color w:val="000000" w:themeColor="text1"/>
          <w:sz w:val="40"/>
          <w:szCs w:val="40"/>
          <w:rtl/>
        </w:rPr>
        <w:t xml:space="preserve"> </w:t>
      </w:r>
      <w:r w:rsidRPr="008252D7">
        <w:rPr>
          <w:rFonts w:ascii="Traditional Arabic" w:hAnsi="Traditional Arabic" w:cs="Traditional Arabic" w:hint="cs"/>
          <w:b/>
          <w:bCs/>
          <w:color w:val="000000" w:themeColor="text1"/>
          <w:sz w:val="40"/>
          <w:szCs w:val="40"/>
          <w:rtl/>
        </w:rPr>
        <w:t>هذه</w:t>
      </w:r>
      <w:r w:rsidRPr="008252D7">
        <w:rPr>
          <w:rFonts w:ascii="Traditional Arabic" w:hAnsi="Traditional Arabic" w:cs="Traditional Arabic"/>
          <w:b/>
          <w:bCs/>
          <w:color w:val="000000" w:themeColor="text1"/>
          <w:sz w:val="40"/>
          <w:szCs w:val="40"/>
          <w:rtl/>
        </w:rPr>
        <w:t xml:space="preserve"> </w:t>
      </w:r>
      <w:r w:rsidRPr="008252D7">
        <w:rPr>
          <w:rFonts w:ascii="Traditional Arabic" w:hAnsi="Traditional Arabic" w:cs="Traditional Arabic" w:hint="cs"/>
          <w:b/>
          <w:bCs/>
          <w:color w:val="000000" w:themeColor="text1"/>
          <w:sz w:val="40"/>
          <w:szCs w:val="40"/>
          <w:rtl/>
        </w:rPr>
        <w:t>المعادلة</w:t>
      </w:r>
      <w:r w:rsidRPr="008252D7">
        <w:rPr>
          <w:rFonts w:ascii="Traditional Arabic" w:hAnsi="Traditional Arabic" w:cs="Traditional Arabic"/>
          <w:b/>
          <w:bCs/>
          <w:color w:val="000000" w:themeColor="text1"/>
          <w:sz w:val="40"/>
          <w:szCs w:val="40"/>
          <w:rtl/>
        </w:rPr>
        <w:t xml:space="preserve"> </w:t>
      </w:r>
      <w:r w:rsidRPr="008252D7">
        <w:rPr>
          <w:rFonts w:ascii="Traditional Arabic" w:hAnsi="Traditional Arabic" w:cs="Traditional Arabic" w:hint="cs"/>
          <w:b/>
          <w:bCs/>
          <w:color w:val="000000" w:themeColor="text1"/>
          <w:sz w:val="40"/>
          <w:szCs w:val="40"/>
          <w:rtl/>
        </w:rPr>
        <w:t>هو</w:t>
      </w:r>
      <w:r w:rsidRPr="008252D7">
        <w:rPr>
          <w:rFonts w:ascii="Traditional Arabic" w:hAnsi="Traditional Arabic" w:cs="Traditional Arabic"/>
          <w:b/>
          <w:bCs/>
          <w:color w:val="000000" w:themeColor="text1"/>
          <w:sz w:val="40"/>
          <w:szCs w:val="40"/>
          <w:rtl/>
        </w:rPr>
        <w:t>:</w:t>
      </w:r>
    </w:p>
    <w:p w:rsidR="00832091" w:rsidRPr="008252D7" w:rsidRDefault="00832091" w:rsidP="00832091">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الأكسجين،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وكل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جزيئة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ثاني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أكسيد</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الكربون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تدخل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المعادلة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يقابلها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جزيئة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الأكسجين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ناتجة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التفاعل</w:t>
      </w:r>
      <w:r w:rsidRPr="008252D7">
        <w:rPr>
          <w:rFonts w:ascii="Traditional Arabic" w:hAnsi="Traditional Arabic" w:cs="Traditional Arabic"/>
          <w:color w:val="000000" w:themeColor="text1"/>
          <w:sz w:val="40"/>
          <w:szCs w:val="40"/>
          <w:rtl/>
        </w:rPr>
        <w:t>.</w:t>
      </w:r>
    </w:p>
    <w:p w:rsidR="00832091" w:rsidRPr="008252D7" w:rsidRDefault="00832091" w:rsidP="00832091">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مركبات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سكريات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حاوية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على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طاقة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عالية</w:t>
      </w:r>
      <w:r w:rsidRPr="008252D7">
        <w:rPr>
          <w:rFonts w:ascii="Traditional Arabic" w:hAnsi="Traditional Arabic" w:cs="Traditional Arabic"/>
          <w:color w:val="000000" w:themeColor="text1"/>
          <w:sz w:val="40"/>
          <w:szCs w:val="40"/>
          <w:rtl/>
        </w:rPr>
        <w:t>.</w:t>
      </w:r>
    </w:p>
    <w:p w:rsidR="00832091" w:rsidRPr="008252D7" w:rsidRDefault="00832091" w:rsidP="00DD0D21">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lastRenderedPageBreak/>
        <w:t>ورغم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بساطة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هذه</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المعادلة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وضعها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السابق</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ولكنها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تتم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خطوات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معقدة،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وتتم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هذه</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المعادلة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دورتين</w:t>
      </w:r>
      <w:r w:rsidRPr="008252D7">
        <w:rPr>
          <w:rFonts w:ascii="Traditional Arabic" w:hAnsi="Traditional Arabic" w:cs="Traditional Arabic"/>
          <w:color w:val="000000" w:themeColor="text1"/>
          <w:sz w:val="40"/>
          <w:szCs w:val="40"/>
          <w:rtl/>
        </w:rPr>
        <w:t>:</w:t>
      </w:r>
      <w:r w:rsidR="00DD0D21" w:rsidRPr="008252D7">
        <w:rPr>
          <w:rFonts w:ascii="Traditional Arabic" w:hAnsi="Traditional Arabic" w:cs="Traditional Arabic" w:hint="cs"/>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الأولى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تسمى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الضوء</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بالإنجليزية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Light reactions</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وهي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تعتمد</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على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وجود</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الضوء</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وتعمل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عليه</w:t>
      </w:r>
      <w:r w:rsidRPr="008252D7">
        <w:rPr>
          <w:rFonts w:ascii="Traditional Arabic" w:hAnsi="Traditional Arabic" w:cs="Traditional Arabic"/>
          <w:color w:val="000000" w:themeColor="text1"/>
          <w:sz w:val="40"/>
          <w:szCs w:val="40"/>
          <w:rtl/>
        </w:rPr>
        <w:t>.</w:t>
      </w:r>
    </w:p>
    <w:p w:rsidR="00832091" w:rsidRPr="008252D7" w:rsidRDefault="00832091" w:rsidP="00832091">
      <w:pPr>
        <w:spacing w:after="0" w:line="360" w:lineRule="auto"/>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الثانية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تسمى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الظلام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بالإنجليزية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Dark reactions</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دورة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كالفن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وهي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تعمل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ليلا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الظلام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استغلالاً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للمنتجات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النهارية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التي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أنتجت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الضوء</w:t>
      </w:r>
      <w:r w:rsidRPr="008252D7">
        <w:rPr>
          <w:rFonts w:ascii="Traditional Arabic" w:hAnsi="Traditional Arabic" w:cs="Traditional Arabic"/>
          <w:color w:val="000000" w:themeColor="text1"/>
          <w:sz w:val="40"/>
          <w:szCs w:val="40"/>
          <w:rtl/>
        </w:rPr>
        <w:t>.</w:t>
      </w:r>
    </w:p>
    <w:p w:rsidR="008F7B8D" w:rsidRPr="008252D7" w:rsidRDefault="00832091" w:rsidP="00DE45FC">
      <w:pPr>
        <w:spacing w:after="0" w:line="360" w:lineRule="auto"/>
        <w:jc w:val="mediumKashida"/>
        <w:rPr>
          <w:rFonts w:ascii="Traditional Arabic" w:hAnsi="Traditional Arabic" w:cs="Traditional Arabic"/>
          <w:color w:val="000000" w:themeColor="text1"/>
          <w:sz w:val="40"/>
          <w:szCs w:val="40"/>
          <w:rtl/>
        </w:rPr>
      </w:pPr>
      <w:r w:rsidRPr="008252D7">
        <w:rPr>
          <w:rFonts w:ascii="Traditional Arabic" w:hAnsi="Traditional Arabic" w:cs="Traditional Arabic" w:hint="cs"/>
          <w:color w:val="000000" w:themeColor="text1"/>
          <w:sz w:val="40"/>
          <w:szCs w:val="40"/>
          <w:rtl/>
        </w:rPr>
        <w:t>وقد</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سميت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الظلام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باسم</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مكتشفها</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كالفن،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وتعمل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تفاعلات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دورة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كالفن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النباتات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ذوات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الفلقتين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وهي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مركبات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ثلاثية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الكربون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ولذلك</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تسمى</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دورة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الكربون</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الثلاثي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وهناك</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دورة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هاتش</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سلاك</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 xml:space="preserve">Hatch </w:t>
      </w:r>
      <w:proofErr w:type="spellStart"/>
      <w:r w:rsidRPr="008252D7">
        <w:rPr>
          <w:rFonts w:ascii="Traditional Arabic" w:hAnsi="Traditional Arabic" w:cs="Traditional Arabic"/>
          <w:color w:val="000000" w:themeColor="text1"/>
          <w:sz w:val="40"/>
          <w:szCs w:val="40"/>
        </w:rPr>
        <w:t>slak</w:t>
      </w:r>
      <w:proofErr w:type="spellEnd"/>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وهي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تعمل</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في</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النباتات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ذوات</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الفلقة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الواحدة</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Monocotyledon</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hint="cs"/>
          <w:color w:val="000000" w:themeColor="text1"/>
          <w:sz w:val="40"/>
          <w:szCs w:val="40"/>
          <w:rtl/>
        </w:rPr>
        <w:t>أو</w:t>
      </w:r>
      <w:r w:rsidRPr="008252D7">
        <w:rPr>
          <w:rFonts w:ascii="Traditional Arabic" w:hAnsi="Traditional Arabic" w:cs="Traditional Arabic"/>
          <w:color w:val="000000" w:themeColor="text1"/>
          <w:sz w:val="40"/>
          <w:szCs w:val="40"/>
          <w:rtl/>
        </w:rPr>
        <w:t xml:space="preserve"> (</w:t>
      </w:r>
      <w:r w:rsidRPr="008252D7">
        <w:rPr>
          <w:rFonts w:ascii="Traditional Arabic" w:hAnsi="Traditional Arabic" w:cs="Traditional Arabic"/>
          <w:color w:val="000000" w:themeColor="text1"/>
          <w:sz w:val="40"/>
          <w:szCs w:val="40"/>
        </w:rPr>
        <w:t>Monocot</w:t>
      </w:r>
      <w:r w:rsidRPr="008252D7">
        <w:rPr>
          <w:rFonts w:ascii="Traditional Arabic" w:hAnsi="Traditional Arabic" w:cs="Traditional Arabic"/>
          <w:color w:val="000000" w:themeColor="text1"/>
          <w:sz w:val="40"/>
          <w:szCs w:val="40"/>
          <w:rtl/>
        </w:rPr>
        <w:t>).</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عملية البناء الضوئي من أهم العمليات الحيوية التي تتم على سطح الكرة الأرضية ، ولهذه العملية العديد من الشروط اللازم توفرها في البيئة الخارجية والداخلية للنبات حتى يقوم بعملية الضوئي ، كما توجد العديد من العوامل المحددة لمعدل حدوث عملية البناء الضوئي .</w:t>
      </w: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أولا العوامل الخارجية: </w:t>
      </w: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DE45FC" w:rsidRPr="008252D7" w:rsidRDefault="00DE45FC" w:rsidP="00343B86">
      <w:pPr>
        <w:spacing w:after="0" w:line="360" w:lineRule="auto"/>
        <w:jc w:val="mediumKashida"/>
        <w:rPr>
          <w:rFonts w:ascii="Traditional Arabic" w:hAnsi="Traditional Arabic" w:cs="Traditional Arabic"/>
          <w:color w:val="000000" w:themeColor="text1"/>
          <w:sz w:val="40"/>
          <w:szCs w:val="40"/>
          <w:rtl/>
        </w:rPr>
      </w:pP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Traditional Arabic" w:hAnsi="Traditional Arabic" w:cs="Traditional Arabic"/>
          <w:b/>
          <w:bCs/>
          <w:color w:val="000000" w:themeColor="text1"/>
          <w:sz w:val="40"/>
          <w:szCs w:val="40"/>
          <w:rtl/>
        </w:rPr>
        <w:lastRenderedPageBreak/>
        <w:t>1-شدة الإضاءة :</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لشدة الإضاءة في البيئة الخارجية للنبات ومدة تعرضه للضوء تأثير على عملية البناء الضوئي ومعدل حدوثها فعندما تكون شدة الإضاءة منخفضة فإن سرعة عملية البناء الضوئي تتناسب طردياً معها حيث يزداد معدل البناء الضوئي مع ارتفاع شدة الضوء .و لكن إذا زادت شدة الإضاءة بدرجة كبيرة ، واستمر تعرض النبات للضوء العادي مدة طويلة ، فإن ذلك يؤدي إلى انخفاض نشاط البناء الضوئي . </w:t>
      </w: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343B86" w:rsidRPr="008252D7" w:rsidRDefault="00733925" w:rsidP="00343B86">
      <w:pPr>
        <w:spacing w:after="0" w:line="360" w:lineRule="auto"/>
        <w:jc w:val="mediumKashida"/>
        <w:rPr>
          <w:rFonts w:ascii="Traditional Arabic" w:hAnsi="Traditional Arabic" w:cs="Traditional Arabic"/>
          <w:b/>
          <w:bCs/>
          <w:color w:val="000000" w:themeColor="text1"/>
          <w:sz w:val="40"/>
          <w:szCs w:val="40"/>
          <w:rtl/>
        </w:rPr>
      </w:pP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2- تركيز ثاني أكسيد الكربون:</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زيادة تركيز ثاني أكسيد الكربون يؤدي إلى زيادة سرعة عملية البناء الضوئي وإذا زاد تركيز ثاني أكسد الكربون في البيئة الخارجية بدرجة عالية انخفضت سرعة عملية البناء الضوئي ويعزى ذلك لأثرها السام على النبات وإغلاقه لثغوره حماية لنفسه من هذا التأثير ، وعند إغلاق الثغور ينخفض تركيز ثاني أكسد الكربون حول الخلايا الخاصة بالبناء الضوئي ومن ثم تتناقص سرعة العملية .</w:t>
      </w: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343B86" w:rsidRPr="008252D7" w:rsidRDefault="00733925" w:rsidP="00343B86">
      <w:pPr>
        <w:bidi w:val="0"/>
        <w:spacing w:after="0" w:line="360" w:lineRule="auto"/>
        <w:jc w:val="right"/>
        <w:rPr>
          <w:rFonts w:ascii="MS Mincho" w:eastAsia="MS Mincho" w:hAnsi="MS Mincho" w:cs="MS Mincho"/>
          <w:b/>
          <w:bCs/>
          <w:color w:val="000000" w:themeColor="text1"/>
          <w:sz w:val="40"/>
          <w:szCs w:val="40"/>
          <w:rtl/>
        </w:rPr>
      </w:pPr>
      <w:r w:rsidRPr="008252D7">
        <w:rPr>
          <w:rFonts w:ascii="Traditional Arabic" w:hAnsi="Traditional Arabic" w:cs="Traditional Arabic"/>
          <w:b/>
          <w:bCs/>
          <w:color w:val="000000" w:themeColor="text1"/>
          <w:sz w:val="40"/>
          <w:szCs w:val="40"/>
          <w:rtl/>
        </w:rPr>
        <w:lastRenderedPageBreak/>
        <w:t> </w:t>
      </w: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3-درجة الحرارة:</w:t>
      </w:r>
    </w:p>
    <w:p w:rsidR="00733925" w:rsidRPr="008252D7" w:rsidRDefault="00733925" w:rsidP="00343B86">
      <w:pPr>
        <w:bidi w:val="0"/>
        <w:spacing w:after="0" w:line="360" w:lineRule="auto"/>
        <w:jc w:val="mediumKashida"/>
        <w:rPr>
          <w:rFonts w:ascii="Traditional Arabic" w:hAnsi="Traditional Arabic" w:cs="Traditional Arabic"/>
          <w:color w:val="000000" w:themeColor="text1"/>
          <w:sz w:val="40"/>
          <w:szCs w:val="40"/>
          <w:rtl/>
        </w:rPr>
      </w:pP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تتأثر الأنزيمات الخاصة بدورات البناء الضوئي بدرجات الحرارة زيادةً ونقصاناً حيث ارتفاع درجة الحرارة يسرع من حدوث عملية البناء الضوئي ولكن مع الزيادة المفرطة في درجة الحرارة يؤدي ذلك إلى الانخفاض في معدل البناء الضوئي وبذلك تتأثر العملية.</w:t>
      </w: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Traditional Arabic" w:hAnsi="Traditional Arabic" w:cs="Traditional Arabic"/>
          <w:b/>
          <w:bCs/>
          <w:color w:val="000000" w:themeColor="text1"/>
          <w:sz w:val="40"/>
          <w:szCs w:val="40"/>
          <w:rtl/>
        </w:rPr>
        <w:t> </w:t>
      </w: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4-المــــــــــــــــــاء:</w:t>
      </w:r>
      <w:r w:rsidRPr="008252D7">
        <w:rPr>
          <w:rFonts w:ascii="MS Mincho" w:eastAsia="MS Mincho" w:hAnsi="MS Mincho" w:cs="MS Mincho" w:hint="eastAsia"/>
          <w:b/>
          <w:bCs/>
          <w:color w:val="000000" w:themeColor="text1"/>
          <w:sz w:val="40"/>
          <w:szCs w:val="40"/>
          <w:rtl/>
        </w:rPr>
        <w:t> </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وجد أن الكمية اللازمة من الماء لاستمرار عملية البناء الضوئي تقدر بحوالي 1 % فقط من جملة الماء الممتص بواسطة النبات. وقد لوحظ أن معدل البناء الضوئي يرتفع إذا ما حدث جفاف بسيط بالأوراق ( 15 % فقد ماء )</w:t>
      </w:r>
    </w:p>
    <w:p w:rsidR="009D4EE1" w:rsidRPr="008252D7" w:rsidRDefault="00733925" w:rsidP="00343B86">
      <w:pPr>
        <w:spacing w:after="0" w:line="360" w:lineRule="auto"/>
        <w:jc w:val="mediumKashida"/>
        <w:rPr>
          <w:rFonts w:ascii="Traditional Arabic" w:eastAsia="MS Mincho"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 xml:space="preserve"> ولكن هذا المعدل ينخفض تماما إذا ما وجد جفاف شديد بهذه الأوراق (45 % فقد ماء) حيث أن فقد الماء يؤدي إلي الانكماش في الخلايا وبالتالي قفل الثغور فيقل معدل التمثيل تبعا لذلك و يؤدى الجفاف أيضا إلي قلة قابلية الأغشية البلازمية للنفاذية وجفاف الأنزيمات النسبي وقد يؤدي إلي قلة سرعة تكوين المواد الكربوهيدارتية المتكونة من عملية البناء مما يؤدى إلي تراكمها في الأوراق وبالتالي بطء سرعة عملية البناء . </w:t>
      </w:r>
    </w:p>
    <w:p w:rsidR="00343B86" w:rsidRPr="008252D7" w:rsidRDefault="00343B86" w:rsidP="00343B86">
      <w:pPr>
        <w:spacing w:after="0" w:line="360" w:lineRule="auto"/>
        <w:jc w:val="mediumKashida"/>
        <w:rPr>
          <w:rFonts w:ascii="Traditional Arabic" w:eastAsia="MS Mincho" w:hAnsi="Traditional Arabic" w:cs="Traditional Arabic"/>
          <w:color w:val="000000" w:themeColor="text1"/>
          <w:sz w:val="40"/>
          <w:szCs w:val="40"/>
          <w:rtl/>
        </w:rPr>
      </w:pPr>
    </w:p>
    <w:p w:rsidR="00DE45FC" w:rsidRPr="008252D7" w:rsidRDefault="00DE45FC" w:rsidP="00343B86">
      <w:pPr>
        <w:spacing w:after="0" w:line="360" w:lineRule="auto"/>
        <w:jc w:val="mediumKashida"/>
        <w:rPr>
          <w:rFonts w:ascii="Traditional Arabic" w:eastAsia="MS Mincho" w:hAnsi="Traditional Arabic" w:cs="Traditional Arabic"/>
          <w:color w:val="000000" w:themeColor="text1"/>
          <w:sz w:val="40"/>
          <w:szCs w:val="40"/>
          <w:rtl/>
        </w:rPr>
      </w:pP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MS Mincho" w:eastAsia="MS Mincho" w:hAnsi="MS Mincho" w:cs="MS Mincho" w:hint="eastAsia"/>
          <w:b/>
          <w:bCs/>
          <w:color w:val="000000" w:themeColor="text1"/>
          <w:sz w:val="40"/>
          <w:szCs w:val="40"/>
          <w:rtl/>
        </w:rPr>
        <w:lastRenderedPageBreak/>
        <w:t>  </w:t>
      </w:r>
      <w:r w:rsidRPr="008252D7">
        <w:rPr>
          <w:rFonts w:ascii="Traditional Arabic" w:hAnsi="Traditional Arabic" w:cs="Traditional Arabic"/>
          <w:b/>
          <w:bCs/>
          <w:color w:val="000000" w:themeColor="text1"/>
          <w:sz w:val="40"/>
          <w:szCs w:val="40"/>
          <w:rtl/>
        </w:rPr>
        <w:t>5- تأثير المواد الغذائية:</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نقص بعض العناصر يؤدي لقلة معدل عملية البناء الضوئي لكونها عوامل مساعدة لبعض الأنزيمات الخاصة بتفاعلات الظلام أو لضرورة وجودها لإتمام عملية تفاعل الضوء مثل الكلورين والذي يؤدى نقصه إلي عدم إمكان نقل الالكترونات من الماء إلي الكلوروفيل وقد يكون نقص عنصر مؤثرا علي بناء الكلوروفيل نفسه كما في حالة نقص الحديد أو النتروجين أو الماغنيسيوم </w:t>
      </w:r>
    </w:p>
    <w:p w:rsidR="00733925" w:rsidRPr="008252D7" w:rsidRDefault="00733925" w:rsidP="00343B86">
      <w:pPr>
        <w:spacing w:after="0" w:line="360" w:lineRule="auto"/>
        <w:jc w:val="mediumKashida"/>
        <w:rPr>
          <w:rFonts w:ascii="Traditional Arabic"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 وغيرها كما انه يدخل كمادة تفاعل أثناء تفاعلات الظلام . </w:t>
      </w: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343B86" w:rsidRPr="008252D7" w:rsidRDefault="00343B86" w:rsidP="00343B86">
      <w:pPr>
        <w:spacing w:after="0" w:line="360" w:lineRule="auto"/>
        <w:jc w:val="mediumKashida"/>
        <w:rPr>
          <w:rFonts w:ascii="Traditional Arabic" w:hAnsi="Traditional Arabic" w:cs="Traditional Arabic"/>
          <w:color w:val="000000" w:themeColor="text1"/>
          <w:sz w:val="40"/>
          <w:szCs w:val="40"/>
          <w:rtl/>
        </w:rPr>
      </w:pPr>
    </w:p>
    <w:p w:rsidR="00557811" w:rsidRPr="008252D7" w:rsidRDefault="00733925" w:rsidP="00343B86">
      <w:pPr>
        <w:spacing w:after="0" w:line="360" w:lineRule="auto"/>
        <w:jc w:val="mediumKashida"/>
        <w:rPr>
          <w:rFonts w:ascii="Traditional Arabic" w:eastAsia="MS Mincho" w:hAnsi="Traditional Arabic" w:cs="Traditional Arabic"/>
          <w:b/>
          <w:bCs/>
          <w:color w:val="000000" w:themeColor="text1"/>
          <w:sz w:val="40"/>
          <w:szCs w:val="40"/>
          <w:rtl/>
        </w:rPr>
      </w:pPr>
      <w:r w:rsidRPr="008252D7">
        <w:rPr>
          <w:rFonts w:ascii="Traditional Arabic" w:hAnsi="Traditional Arabic" w:cs="Traditional Arabic"/>
          <w:b/>
          <w:bCs/>
          <w:color w:val="000000" w:themeColor="text1"/>
          <w:sz w:val="40"/>
          <w:szCs w:val="40"/>
          <w:rtl/>
        </w:rPr>
        <w:t> </w:t>
      </w: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ثانيا العوامل الداخلية:</w:t>
      </w: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1- الأنزيمات:</w:t>
      </w:r>
      <w:r w:rsidRPr="008252D7">
        <w:rPr>
          <w:rFonts w:ascii="MS Mincho" w:eastAsia="MS Mincho" w:hAnsi="MS Mincho" w:cs="MS Mincho" w:hint="eastAsia"/>
          <w:b/>
          <w:bCs/>
          <w:color w:val="000000" w:themeColor="text1"/>
          <w:sz w:val="40"/>
          <w:szCs w:val="40"/>
          <w:rtl/>
        </w:rPr>
        <w:t> </w:t>
      </w:r>
    </w:p>
    <w:p w:rsidR="0037125E" w:rsidRPr="008252D7" w:rsidRDefault="00733925" w:rsidP="00343B86">
      <w:pPr>
        <w:spacing w:after="0" w:line="360" w:lineRule="auto"/>
        <w:jc w:val="mediumKashida"/>
        <w:rPr>
          <w:rFonts w:ascii="Traditional Arabic" w:eastAsia="MS Mincho"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t>حيث تتوقف عملية البناء الضوئي على توفر الأنزيمات الخاصة بهاو وكفاءتها وحدوث أي خلل بها يؤدي إلى التأثير على معدل العملية</w:t>
      </w:r>
      <w:r w:rsidR="0037125E" w:rsidRPr="008252D7">
        <w:rPr>
          <w:rFonts w:ascii="Traditional Arabic" w:eastAsia="MS Mincho" w:hAnsi="Traditional Arabic" w:cs="Traditional Arabic"/>
          <w:color w:val="000000" w:themeColor="text1"/>
          <w:sz w:val="40"/>
          <w:szCs w:val="40"/>
          <w:rtl/>
        </w:rPr>
        <w:t>.</w:t>
      </w: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2- تركيب الورقة الداخلي:</w:t>
      </w:r>
      <w:r w:rsidRPr="008252D7">
        <w:rPr>
          <w:rFonts w:ascii="MS Mincho" w:eastAsia="MS Mincho" w:hAnsi="MS Mincho" w:cs="MS Mincho" w:hint="eastAsia"/>
          <w:b/>
          <w:bCs/>
          <w:color w:val="000000" w:themeColor="text1"/>
          <w:sz w:val="40"/>
          <w:szCs w:val="40"/>
          <w:rtl/>
        </w:rPr>
        <w:t> </w:t>
      </w:r>
    </w:p>
    <w:p w:rsidR="0037125E" w:rsidRPr="008252D7" w:rsidRDefault="00733925" w:rsidP="00343B86">
      <w:pPr>
        <w:spacing w:after="0" w:line="360" w:lineRule="auto"/>
        <w:jc w:val="mediumKashida"/>
        <w:rPr>
          <w:rFonts w:ascii="Traditional Arabic" w:eastAsia="MS Mincho" w:hAnsi="Traditional Arabic" w:cs="Traditional Arabic"/>
          <w:color w:val="000000" w:themeColor="text1"/>
          <w:sz w:val="40"/>
          <w:szCs w:val="40"/>
          <w:rtl/>
        </w:rPr>
      </w:pPr>
      <w:r w:rsidRPr="008252D7">
        <w:rPr>
          <w:rFonts w:ascii="Traditional Arabic" w:hAnsi="Traditional Arabic" w:cs="Traditional Arabic"/>
          <w:color w:val="000000" w:themeColor="text1"/>
          <w:sz w:val="40"/>
          <w:szCs w:val="40"/>
          <w:rtl/>
        </w:rPr>
        <w:lastRenderedPageBreak/>
        <w:t>حيث تتوقف كفاءة العملية على التركيب الداخلي للورقة والذي يختلف في ذوات الفلقة عن ذوات الفلقتين. </w:t>
      </w:r>
    </w:p>
    <w:p w:rsidR="00343B86" w:rsidRPr="008252D7" w:rsidRDefault="00733925" w:rsidP="00343B86">
      <w:pPr>
        <w:spacing w:after="0" w:line="360" w:lineRule="auto"/>
        <w:jc w:val="mediumKashida"/>
        <w:rPr>
          <w:rFonts w:ascii="MS Mincho" w:eastAsia="MS Mincho" w:hAnsi="MS Mincho" w:cs="MS Mincho"/>
          <w:b/>
          <w:bCs/>
          <w:color w:val="000000" w:themeColor="text1"/>
          <w:sz w:val="40"/>
          <w:szCs w:val="40"/>
          <w:rtl/>
        </w:rPr>
      </w:pPr>
      <w:r w:rsidRPr="008252D7">
        <w:rPr>
          <w:rFonts w:ascii="MS Mincho" w:eastAsia="MS Mincho" w:hAnsi="MS Mincho" w:cs="MS Mincho" w:hint="eastAsia"/>
          <w:b/>
          <w:bCs/>
          <w:color w:val="000000" w:themeColor="text1"/>
          <w:sz w:val="40"/>
          <w:szCs w:val="40"/>
          <w:rtl/>
        </w:rPr>
        <w:t> </w:t>
      </w:r>
      <w:r w:rsidRPr="008252D7">
        <w:rPr>
          <w:rFonts w:ascii="Traditional Arabic" w:hAnsi="Traditional Arabic" w:cs="Traditional Arabic"/>
          <w:b/>
          <w:bCs/>
          <w:color w:val="000000" w:themeColor="text1"/>
          <w:sz w:val="40"/>
          <w:szCs w:val="40"/>
          <w:rtl/>
        </w:rPr>
        <w:t>3- تراكم المنتجات:</w:t>
      </w:r>
    </w:p>
    <w:p w:rsidR="008252D7" w:rsidRPr="008252D7" w:rsidRDefault="00733925" w:rsidP="00933291">
      <w:pPr>
        <w:spacing w:after="0" w:line="360" w:lineRule="auto"/>
        <w:jc w:val="mediumKashida"/>
        <w:rPr>
          <w:rFonts w:ascii="Traditional Arabic" w:hAnsi="Traditional Arabic" w:cs="Traditional Arabic"/>
          <w:color w:val="000000" w:themeColor="text1"/>
          <w:sz w:val="40"/>
          <w:szCs w:val="40"/>
        </w:rPr>
      </w:pPr>
      <w:r w:rsidRPr="008252D7">
        <w:rPr>
          <w:rFonts w:ascii="MS Mincho" w:eastAsia="MS Mincho" w:hAnsi="MS Mincho" w:cs="MS Mincho" w:hint="eastAsia"/>
          <w:color w:val="000000" w:themeColor="text1"/>
          <w:sz w:val="40"/>
          <w:szCs w:val="40"/>
          <w:rtl/>
        </w:rPr>
        <w:t> </w:t>
      </w:r>
      <w:r w:rsidRPr="008252D7">
        <w:rPr>
          <w:rFonts w:ascii="Traditional Arabic" w:hAnsi="Traditional Arabic" w:cs="Traditional Arabic"/>
          <w:color w:val="000000" w:themeColor="text1"/>
          <w:sz w:val="40"/>
          <w:szCs w:val="40"/>
          <w:rtl/>
        </w:rPr>
        <w:t>إن تراكم المنتجات الكربوهايدريتية الناتجة من عملية البناء الضوئي في الأوراق يؤدي إلى بطء العملية</w:t>
      </w:r>
      <w:r w:rsidR="008252D7" w:rsidRPr="008252D7">
        <w:rPr>
          <w:rFonts w:ascii="Traditional Arabic" w:hAnsi="Traditional Arabic" w:cs="Traditional Arabic" w:hint="cs"/>
          <w:color w:val="000000" w:themeColor="text1"/>
          <w:sz w:val="40"/>
          <w:szCs w:val="40"/>
          <w:rtl/>
        </w:rPr>
        <w:t>.</w:t>
      </w:r>
      <w:bookmarkStart w:id="0" w:name="_GoBack"/>
      <w:bookmarkEnd w:id="0"/>
    </w:p>
    <w:sectPr w:rsidR="008252D7" w:rsidRPr="008252D7" w:rsidSect="008F317A">
      <w:pgSz w:w="11906" w:h="16838"/>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25"/>
    <w:rsid w:val="00343B86"/>
    <w:rsid w:val="0037125E"/>
    <w:rsid w:val="00514892"/>
    <w:rsid w:val="00557811"/>
    <w:rsid w:val="0057060E"/>
    <w:rsid w:val="006C2466"/>
    <w:rsid w:val="00733925"/>
    <w:rsid w:val="008252D7"/>
    <w:rsid w:val="00832091"/>
    <w:rsid w:val="008F317A"/>
    <w:rsid w:val="008F7B8D"/>
    <w:rsid w:val="00933291"/>
    <w:rsid w:val="009D4EE1"/>
    <w:rsid w:val="00D137E4"/>
    <w:rsid w:val="00DD0D21"/>
    <w:rsid w:val="00DE45FC"/>
    <w:rsid w:val="00F43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3C7C"/>
  <w15:chartTrackingRefBased/>
  <w15:docId w15:val="{CF228F35-F4E5-4460-9D7F-57DD0FEE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60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7060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828F-8276-4757-9EC3-6319BBC2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607</Words>
  <Characters>3460</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11</cp:revision>
  <cp:lastPrinted>2018-12-02T19:47:00Z</cp:lastPrinted>
  <dcterms:created xsi:type="dcterms:W3CDTF">2018-10-07T20:00:00Z</dcterms:created>
  <dcterms:modified xsi:type="dcterms:W3CDTF">2019-01-17T01:13:00Z</dcterms:modified>
</cp:coreProperties>
</file>