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419" w:rsidRPr="000E3C0F" w:rsidRDefault="00567419" w:rsidP="000E3C0F">
      <w:pPr>
        <w:spacing w:line="360" w:lineRule="auto"/>
        <w:jc w:val="center"/>
        <w:rPr>
          <w:rFonts w:ascii="Traditional Arabic" w:hAnsi="Traditional Arabic" w:cs="Traditional Arabic"/>
          <w:b/>
          <w:bCs/>
          <w:sz w:val="42"/>
          <w:szCs w:val="42"/>
          <w:rtl/>
        </w:rPr>
      </w:pPr>
      <w:bookmarkStart w:id="0" w:name="_GoBack"/>
      <w:bookmarkEnd w:id="0"/>
      <w:r w:rsidRPr="000E3C0F">
        <w:rPr>
          <w:rFonts w:ascii="Traditional Arabic" w:hAnsi="Traditional Arabic" w:cs="Traditional Arabic"/>
          <w:b/>
          <w:bCs/>
          <w:sz w:val="42"/>
          <w:szCs w:val="42"/>
          <w:rtl/>
        </w:rPr>
        <w:t>القراءة</w:t>
      </w:r>
    </w:p>
    <w:p w:rsidR="00567419" w:rsidRPr="00567419" w:rsidRDefault="00567419" w:rsidP="00567419">
      <w:pPr>
        <w:spacing w:line="360" w:lineRule="auto"/>
        <w:jc w:val="mediumKashida"/>
        <w:rPr>
          <w:rFonts w:ascii="Traditional Arabic" w:hAnsi="Traditional Arabic" w:cs="Traditional Arabic"/>
          <w:sz w:val="34"/>
          <w:szCs w:val="34"/>
          <w:rtl/>
        </w:rPr>
      </w:pPr>
      <w:r w:rsidRPr="00567419">
        <w:rPr>
          <w:rFonts w:ascii="Traditional Arabic" w:hAnsi="Traditional Arabic" w:cs="Traditional Arabic"/>
          <w:sz w:val="34"/>
          <w:szCs w:val="34"/>
          <w:rtl/>
        </w:rPr>
        <w:t xml:space="preserve"> القراءة المركّزة أو كما تعرف بالقراءة المتعمّقة، يُقصد بها الخطوات الواجب اتباعها للتمكّن من قراءة الكتب العلمية أو المقالات بشكل فعّال، وتُعرف هذه الخطوات باستراتيجيّة </w:t>
      </w:r>
      <w:r w:rsidRPr="00567419">
        <w:rPr>
          <w:rFonts w:ascii="Traditional Arabic" w:hAnsi="Traditional Arabic" w:cs="Traditional Arabic"/>
          <w:sz w:val="34"/>
          <w:szCs w:val="34"/>
        </w:rPr>
        <w:t>SQ3R</w:t>
      </w:r>
      <w:r w:rsidRPr="00567419">
        <w:rPr>
          <w:rFonts w:ascii="Traditional Arabic" w:hAnsi="Traditional Arabic" w:cs="Traditional Arabic"/>
          <w:sz w:val="34"/>
          <w:szCs w:val="34"/>
          <w:rtl/>
        </w:rPr>
        <w:t xml:space="preserve"> أيضاً، وتعتمدُ هذه الاستراتيجية على التنظيم الجيّد أثناء القراءة، وقد عرفت من قبل فرانسيس روبنسن الذي كان من طاقم التعليم في جامعة أوهايو، والذي اعتمدها بشكل أساسي في العام 1941 ميلاديّاً. </w:t>
      </w:r>
    </w:p>
    <w:p w:rsidR="00567419" w:rsidRPr="00567419" w:rsidRDefault="00567419" w:rsidP="00567419">
      <w:pPr>
        <w:spacing w:line="360" w:lineRule="auto"/>
        <w:jc w:val="mediumKashida"/>
        <w:rPr>
          <w:rFonts w:ascii="Traditional Arabic" w:hAnsi="Traditional Arabic" w:cs="Traditional Arabic"/>
          <w:sz w:val="34"/>
          <w:szCs w:val="34"/>
          <w:rtl/>
        </w:rPr>
      </w:pPr>
      <w:r w:rsidRPr="00567419">
        <w:rPr>
          <w:rFonts w:ascii="Traditional Arabic" w:hAnsi="Traditional Arabic" w:cs="Traditional Arabic"/>
          <w:sz w:val="34"/>
          <w:szCs w:val="34"/>
          <w:rtl/>
        </w:rPr>
        <w:t xml:space="preserve">وبعد انتشار هذه الاستراتيجيّة لاقت نجاحاً واسعاً وشهرةً كبيرة، وقد لا يكون السّببُ في هذا الانتشار هو فقط نتيجة للمبدأ العلميّ الذي بنيت عليه هذه الاستراتيجية بقدرِ ما كانت تلك الشهرة ناتجةً من الاسم أو الرمز الذي اختاره فرانسيس روبنسن لها، ويقصد بالرمز </w:t>
      </w:r>
      <w:r w:rsidRPr="00567419">
        <w:rPr>
          <w:rFonts w:ascii="Traditional Arabic" w:hAnsi="Traditional Arabic" w:cs="Traditional Arabic"/>
          <w:sz w:val="34"/>
          <w:szCs w:val="34"/>
        </w:rPr>
        <w:t>SQ3R</w:t>
      </w:r>
      <w:r w:rsidRPr="00567419">
        <w:rPr>
          <w:rFonts w:ascii="Traditional Arabic" w:hAnsi="Traditional Arabic" w:cs="Traditional Arabic"/>
          <w:sz w:val="34"/>
          <w:szCs w:val="34"/>
          <w:rtl/>
        </w:rPr>
        <w:t xml:space="preserve"> بداية أحرف كلّ الخطوات الخمسة، وهو من الطّرق التي تسهّل حفظ الخطوات بالترتيب نفسه، والخطوات الخمسة هي: استطلع أو تصفَحْ "</w:t>
      </w:r>
      <w:r w:rsidRPr="00567419">
        <w:rPr>
          <w:rFonts w:ascii="Traditional Arabic" w:hAnsi="Traditional Arabic" w:cs="Traditional Arabic"/>
          <w:sz w:val="34"/>
          <w:szCs w:val="34"/>
        </w:rPr>
        <w:t>SURVEY</w:t>
      </w:r>
      <w:r w:rsidRPr="00567419">
        <w:rPr>
          <w:rFonts w:ascii="Traditional Arabic" w:hAnsi="Traditional Arabic" w:cs="Traditional Arabic"/>
          <w:sz w:val="34"/>
          <w:szCs w:val="34"/>
          <w:rtl/>
        </w:rPr>
        <w:t>"، اسألْ "</w:t>
      </w:r>
      <w:r w:rsidRPr="00567419">
        <w:rPr>
          <w:rFonts w:ascii="Traditional Arabic" w:hAnsi="Traditional Arabic" w:cs="Traditional Arabic"/>
          <w:sz w:val="34"/>
          <w:szCs w:val="34"/>
        </w:rPr>
        <w:t>Question</w:t>
      </w:r>
      <w:r w:rsidRPr="00567419">
        <w:rPr>
          <w:rFonts w:ascii="Traditional Arabic" w:hAnsi="Traditional Arabic" w:cs="Traditional Arabic"/>
          <w:sz w:val="34"/>
          <w:szCs w:val="34"/>
          <w:rtl/>
        </w:rPr>
        <w:t>"، اقرأ "</w:t>
      </w:r>
      <w:r w:rsidRPr="00567419">
        <w:rPr>
          <w:rFonts w:ascii="Traditional Arabic" w:hAnsi="Traditional Arabic" w:cs="Traditional Arabic"/>
          <w:sz w:val="34"/>
          <w:szCs w:val="34"/>
        </w:rPr>
        <w:t>Read</w:t>
      </w:r>
      <w:r w:rsidRPr="00567419">
        <w:rPr>
          <w:rFonts w:ascii="Traditional Arabic" w:hAnsi="Traditional Arabic" w:cs="Traditional Arabic"/>
          <w:sz w:val="34"/>
          <w:szCs w:val="34"/>
          <w:rtl/>
        </w:rPr>
        <w:t>"، سمّع "</w:t>
      </w:r>
      <w:r w:rsidRPr="00567419">
        <w:rPr>
          <w:rFonts w:ascii="Traditional Arabic" w:hAnsi="Traditional Arabic" w:cs="Traditional Arabic"/>
          <w:sz w:val="34"/>
          <w:szCs w:val="34"/>
        </w:rPr>
        <w:t>Recite</w:t>
      </w:r>
      <w:r w:rsidRPr="00567419">
        <w:rPr>
          <w:rFonts w:ascii="Traditional Arabic" w:hAnsi="Traditional Arabic" w:cs="Traditional Arabic"/>
          <w:sz w:val="34"/>
          <w:szCs w:val="34"/>
          <w:rtl/>
        </w:rPr>
        <w:t>"، راجعْ "</w:t>
      </w:r>
      <w:r w:rsidRPr="00567419">
        <w:rPr>
          <w:rFonts w:ascii="Traditional Arabic" w:hAnsi="Traditional Arabic" w:cs="Traditional Arabic"/>
          <w:sz w:val="34"/>
          <w:szCs w:val="34"/>
        </w:rPr>
        <w:t>Review</w:t>
      </w:r>
      <w:r w:rsidRPr="00567419">
        <w:rPr>
          <w:rFonts w:ascii="Traditional Arabic" w:hAnsi="Traditional Arabic" w:cs="Traditional Arabic"/>
          <w:sz w:val="34"/>
          <w:szCs w:val="34"/>
          <w:rtl/>
        </w:rPr>
        <w:t>".</w:t>
      </w:r>
    </w:p>
    <w:p w:rsidR="00567419" w:rsidRPr="00567419" w:rsidRDefault="00567419" w:rsidP="00567419">
      <w:pPr>
        <w:spacing w:line="360" w:lineRule="auto"/>
        <w:jc w:val="mediumKashida"/>
        <w:rPr>
          <w:rFonts w:ascii="Traditional Arabic" w:hAnsi="Traditional Arabic" w:cs="Traditional Arabic"/>
          <w:b/>
          <w:bCs/>
          <w:sz w:val="34"/>
          <w:szCs w:val="34"/>
          <w:rtl/>
        </w:rPr>
      </w:pPr>
      <w:r w:rsidRPr="00567419">
        <w:rPr>
          <w:rFonts w:ascii="Traditional Arabic" w:hAnsi="Traditional Arabic" w:cs="Traditional Arabic"/>
          <w:b/>
          <w:bCs/>
          <w:sz w:val="34"/>
          <w:szCs w:val="34"/>
          <w:rtl/>
        </w:rPr>
        <w:t xml:space="preserve"> الخطوات الخمس للقراءة المتعمقة </w:t>
      </w:r>
    </w:p>
    <w:p w:rsidR="00567419" w:rsidRPr="00567419" w:rsidRDefault="00567419" w:rsidP="00567419">
      <w:pPr>
        <w:spacing w:line="360" w:lineRule="auto"/>
        <w:jc w:val="mediumKashida"/>
        <w:rPr>
          <w:rFonts w:ascii="Traditional Arabic" w:hAnsi="Traditional Arabic" w:cs="Traditional Arabic"/>
          <w:sz w:val="34"/>
          <w:szCs w:val="34"/>
          <w:rtl/>
        </w:rPr>
      </w:pPr>
      <w:r w:rsidRPr="00567419">
        <w:rPr>
          <w:rFonts w:ascii="Traditional Arabic" w:hAnsi="Traditional Arabic" w:cs="Traditional Arabic"/>
          <w:sz w:val="34"/>
          <w:szCs w:val="34"/>
          <w:rtl/>
        </w:rPr>
        <w:t xml:space="preserve">التّصفّح يقصد بالتصفح استطلاعُ المادّة المراد قراءتها، أو مسحها بشكل شامل، مثل مشاهدة العناوين الرئيسيّة فيها والتركيز على قراءة الخلاصة أو النتائج الموجودة في آخرها، ثمّ إعادة قراءة الفقرة الأولى مع التّركيز على الكلمات والمصطلحات الهامّة فيها، </w:t>
      </w:r>
      <w:r w:rsidRPr="00567419">
        <w:rPr>
          <w:rFonts w:ascii="Traditional Arabic" w:hAnsi="Traditional Arabic" w:cs="Traditional Arabic"/>
          <w:sz w:val="34"/>
          <w:szCs w:val="34"/>
          <w:rtl/>
        </w:rPr>
        <w:lastRenderedPageBreak/>
        <w:t>ويجب أن تأخذَ هذه العمليّة الكثير من الوقت، ولكنّها تهيّءُ النفسَ لمباشرة القراءة، ومعرفة الفكرة العامّة من المقال، أو البحث المراد قراءته ليظهر لدى القارئ هذه التساؤلات عن أي شيء يتحدَّث النَّصُّ؟ وعن أيّ شيء تتحدَّث الفقرة الأولى؟ والفقرة الثانية ؟ السؤال تكون هذه الخطوة بعد تكوين الشخص للفكرة العامّة عمّا يرغبُ بقراءته، فيبدأ القارئ بوضع العديد من التساؤلات حول المادّة العلميّة بحيث يكوّن العديد من الأسئلة حول العنوان الرئيسيّ، أو حول الفكرة من هذه الورقة العلميّة، أو وضع الأسئلة حول العناوين الفرعيّة وما تحتويهِ من أفكار، والهدف من وضع هذه الأسئلة إيجاد الحافز الذي يدفعُ الشّخصَ للقراءة، كما أنّ الهدفَ الآخرَ هو تذكّر المادّة التي تمّت قراءتها بعدَ فترةٍ من الزّمن وتذكّر أهمّ ما كانَ فيها من أفكار.</w:t>
      </w:r>
    </w:p>
    <w:p w:rsidR="00567419" w:rsidRPr="00567419" w:rsidRDefault="00567419" w:rsidP="00567419">
      <w:pPr>
        <w:spacing w:line="360" w:lineRule="auto"/>
        <w:jc w:val="mediumKashida"/>
        <w:rPr>
          <w:rFonts w:ascii="Traditional Arabic" w:hAnsi="Traditional Arabic" w:cs="Traditional Arabic"/>
          <w:sz w:val="34"/>
          <w:szCs w:val="34"/>
          <w:rtl/>
        </w:rPr>
      </w:pPr>
      <w:r w:rsidRPr="00567419">
        <w:rPr>
          <w:rFonts w:ascii="Traditional Arabic" w:hAnsi="Traditional Arabic" w:cs="Traditional Arabic"/>
          <w:sz w:val="34"/>
          <w:szCs w:val="34"/>
          <w:rtl/>
        </w:rPr>
        <w:t xml:space="preserve"> القراءة في هذه الخطوة يبدأ القارئ بقراءة المادة العلميّة بتركيزٍ أكبر، والهدفُ من هذه الخطوة أن يبحثَ القارئ عن إجابة لجميع التساؤلات التي طرحَت المادّة ويرغب بمعرفة الإجابة عنها، ومن المهمّ أن يتذكر القارئ هذه الأسئلة وفقاً لترتيبها، كونه سوف يقرأ المادة العلميّة وفقاً للترتيب، وفي نهاية هذه الخطوة سوف يحصل القارئ على إجابة لجميع تساؤلاته التي طرحها من قبل.</w:t>
      </w:r>
    </w:p>
    <w:p w:rsidR="00567419" w:rsidRPr="00567419" w:rsidRDefault="00567419" w:rsidP="00567419">
      <w:pPr>
        <w:spacing w:line="360" w:lineRule="auto"/>
        <w:jc w:val="mediumKashida"/>
        <w:rPr>
          <w:rFonts w:ascii="Traditional Arabic" w:hAnsi="Traditional Arabic" w:cs="Traditional Arabic"/>
          <w:sz w:val="34"/>
          <w:szCs w:val="34"/>
          <w:rtl/>
        </w:rPr>
      </w:pPr>
      <w:r w:rsidRPr="00567419">
        <w:rPr>
          <w:rFonts w:ascii="Traditional Arabic" w:hAnsi="Traditional Arabic" w:cs="Traditional Arabic"/>
          <w:sz w:val="34"/>
          <w:szCs w:val="34"/>
          <w:rtl/>
        </w:rPr>
        <w:t xml:space="preserve"> التسميع في هذه الخطوة على الكاتب ترك المادة العلميّة، ومحاوله استرجاع الأسئلة التي طرحتْها المادّة والإجابة عنها، ويمكنه استخدام لغته الخاصّة في التعبير بدلاً من اللجوء للكلمات الموجودة في المادة، وتعتبر هذه الخطوة هامة جداً؛ حيث إنّ التسميع أفضل </w:t>
      </w:r>
      <w:r w:rsidRPr="00567419">
        <w:rPr>
          <w:rFonts w:ascii="Traditional Arabic" w:hAnsi="Traditional Arabic" w:cs="Traditional Arabic"/>
          <w:sz w:val="34"/>
          <w:szCs w:val="34"/>
          <w:rtl/>
        </w:rPr>
        <w:lastRenderedPageBreak/>
        <w:t>من إعادة قراءة المادة للمرة الثانية، مع أنها الشرط الأساسيّ قبل قراءة المادّة مرة أخرى، والهدف منها تحسين مهارات العقل على حفظ المعلومات وتذكّرها بشكل أفضل.</w:t>
      </w:r>
    </w:p>
    <w:p w:rsidR="00567419" w:rsidRDefault="00567419" w:rsidP="00567419">
      <w:pPr>
        <w:spacing w:line="360" w:lineRule="auto"/>
        <w:jc w:val="mediumKashida"/>
        <w:rPr>
          <w:rFonts w:ascii="Traditional Arabic" w:hAnsi="Traditional Arabic" w:cs="Traditional Arabic"/>
          <w:sz w:val="34"/>
          <w:szCs w:val="34"/>
          <w:rtl/>
        </w:rPr>
      </w:pPr>
      <w:r w:rsidRPr="00567419">
        <w:rPr>
          <w:rFonts w:ascii="Traditional Arabic" w:hAnsi="Traditional Arabic" w:cs="Traditional Arabic"/>
          <w:sz w:val="34"/>
          <w:szCs w:val="34"/>
          <w:rtl/>
        </w:rPr>
        <w:t xml:space="preserve"> المراجعة في الكثير من الأحيان قد ينسى القارئ الهدف من فقرة ما من هذه المادّة العلميّة، وقد ينسى الإجابة عن تساؤل ما كان قد طرحه حول فقرة معيّنة، وهذه الفقرة تسهّل على القارئ العودة للفقرة التي تحتوي على الإجابة بوقت قصير، كما أنها تساهم في مراجعة المادّة بشكل كامل.</w:t>
      </w:r>
    </w:p>
    <w:p w:rsidR="000E3C0F" w:rsidRDefault="000E3C0F" w:rsidP="00567419">
      <w:pPr>
        <w:spacing w:line="360" w:lineRule="auto"/>
        <w:jc w:val="mediumKashida"/>
        <w:rPr>
          <w:rFonts w:ascii="Traditional Arabic" w:hAnsi="Traditional Arabic" w:cs="Traditional Arabic"/>
          <w:sz w:val="34"/>
          <w:szCs w:val="34"/>
          <w:rtl/>
        </w:rPr>
      </w:pPr>
    </w:p>
    <w:p w:rsidR="000E3C0F" w:rsidRDefault="000E3C0F" w:rsidP="00567419">
      <w:pPr>
        <w:spacing w:line="360" w:lineRule="auto"/>
        <w:jc w:val="mediumKashida"/>
        <w:rPr>
          <w:rFonts w:ascii="Traditional Arabic" w:hAnsi="Traditional Arabic" w:cs="Traditional Arabic"/>
          <w:sz w:val="34"/>
          <w:szCs w:val="34"/>
          <w:rtl/>
        </w:rPr>
      </w:pPr>
    </w:p>
    <w:p w:rsidR="000E3C0F" w:rsidRDefault="000E3C0F" w:rsidP="00567419">
      <w:pPr>
        <w:spacing w:line="360" w:lineRule="auto"/>
        <w:jc w:val="mediumKashida"/>
        <w:rPr>
          <w:rFonts w:ascii="Traditional Arabic" w:hAnsi="Traditional Arabic" w:cs="Traditional Arabic"/>
          <w:sz w:val="34"/>
          <w:szCs w:val="34"/>
          <w:rtl/>
        </w:rPr>
      </w:pPr>
    </w:p>
    <w:p w:rsidR="000E3C0F" w:rsidRDefault="000E3C0F" w:rsidP="00567419">
      <w:pPr>
        <w:spacing w:line="360" w:lineRule="auto"/>
        <w:jc w:val="mediumKashida"/>
        <w:rPr>
          <w:rFonts w:ascii="Traditional Arabic" w:hAnsi="Traditional Arabic" w:cs="Traditional Arabic"/>
          <w:sz w:val="34"/>
          <w:szCs w:val="34"/>
          <w:rtl/>
        </w:rPr>
      </w:pPr>
    </w:p>
    <w:p w:rsidR="000E3C0F" w:rsidRDefault="000E3C0F" w:rsidP="00567419">
      <w:pPr>
        <w:spacing w:line="360" w:lineRule="auto"/>
        <w:jc w:val="mediumKashida"/>
        <w:rPr>
          <w:rFonts w:ascii="Traditional Arabic" w:hAnsi="Traditional Arabic" w:cs="Traditional Arabic"/>
          <w:sz w:val="34"/>
          <w:szCs w:val="34"/>
          <w:rtl/>
        </w:rPr>
      </w:pPr>
    </w:p>
    <w:p w:rsidR="000E3C0F" w:rsidRDefault="000E3C0F" w:rsidP="00567419">
      <w:pPr>
        <w:spacing w:line="360" w:lineRule="auto"/>
        <w:jc w:val="mediumKashida"/>
        <w:rPr>
          <w:rFonts w:ascii="Traditional Arabic" w:hAnsi="Traditional Arabic" w:cs="Traditional Arabic"/>
          <w:sz w:val="34"/>
          <w:szCs w:val="34"/>
          <w:rtl/>
        </w:rPr>
      </w:pPr>
    </w:p>
    <w:p w:rsidR="000E3C0F" w:rsidRDefault="000E3C0F" w:rsidP="00567419">
      <w:pPr>
        <w:spacing w:line="360" w:lineRule="auto"/>
        <w:jc w:val="mediumKashida"/>
        <w:rPr>
          <w:rFonts w:ascii="Traditional Arabic" w:hAnsi="Traditional Arabic" w:cs="Traditional Arabic"/>
          <w:sz w:val="34"/>
          <w:szCs w:val="34"/>
          <w:rtl/>
        </w:rPr>
      </w:pPr>
    </w:p>
    <w:p w:rsidR="000E3C0F" w:rsidRDefault="000E3C0F" w:rsidP="00567419">
      <w:pPr>
        <w:spacing w:line="360" w:lineRule="auto"/>
        <w:jc w:val="mediumKashida"/>
        <w:rPr>
          <w:rFonts w:ascii="Traditional Arabic" w:hAnsi="Traditional Arabic" w:cs="Traditional Arabic"/>
          <w:sz w:val="34"/>
          <w:szCs w:val="34"/>
          <w:rtl/>
        </w:rPr>
      </w:pPr>
    </w:p>
    <w:p w:rsidR="000E3C0F" w:rsidRDefault="000E3C0F" w:rsidP="00567419">
      <w:pPr>
        <w:spacing w:line="360" w:lineRule="auto"/>
        <w:jc w:val="mediumKashida"/>
        <w:rPr>
          <w:rFonts w:ascii="Traditional Arabic" w:hAnsi="Traditional Arabic" w:cs="Traditional Arabic"/>
          <w:sz w:val="34"/>
          <w:szCs w:val="34"/>
          <w:rtl/>
        </w:rPr>
      </w:pPr>
    </w:p>
    <w:p w:rsidR="000E3C0F" w:rsidRPr="00567419" w:rsidRDefault="000E3C0F" w:rsidP="00567419">
      <w:pPr>
        <w:spacing w:line="360" w:lineRule="auto"/>
        <w:jc w:val="mediumKashida"/>
        <w:rPr>
          <w:rFonts w:ascii="Traditional Arabic" w:hAnsi="Traditional Arabic" w:cs="Traditional Arabic"/>
          <w:sz w:val="34"/>
          <w:szCs w:val="34"/>
          <w:rtl/>
        </w:rPr>
      </w:pPr>
    </w:p>
    <w:p w:rsidR="000E3C0F" w:rsidRPr="000E3C0F" w:rsidRDefault="000E3C0F" w:rsidP="000E3C0F">
      <w:pPr>
        <w:spacing w:line="360" w:lineRule="auto"/>
        <w:rPr>
          <w:rFonts w:ascii="Traditional Arabic" w:hAnsi="Traditional Arabic" w:cs="Traditional Arabic"/>
          <w:b/>
          <w:bCs/>
          <w:sz w:val="34"/>
          <w:szCs w:val="34"/>
          <w:rtl/>
        </w:rPr>
      </w:pPr>
      <w:r w:rsidRPr="000E3C0F">
        <w:rPr>
          <w:rFonts w:ascii="Traditional Arabic" w:hAnsi="Traditional Arabic" w:cs="Traditional Arabic" w:hint="cs"/>
          <w:b/>
          <w:bCs/>
          <w:sz w:val="34"/>
          <w:szCs w:val="34"/>
          <w:rtl/>
        </w:rPr>
        <w:lastRenderedPageBreak/>
        <w:t>القراءة</w:t>
      </w:r>
      <w:r w:rsidRPr="000E3C0F">
        <w:rPr>
          <w:rFonts w:ascii="Traditional Arabic" w:hAnsi="Traditional Arabic" w:cs="Traditional Arabic"/>
          <w:b/>
          <w:bCs/>
          <w:sz w:val="34"/>
          <w:szCs w:val="34"/>
          <w:rtl/>
        </w:rPr>
        <w:t xml:space="preserve"> </w:t>
      </w:r>
      <w:r w:rsidRPr="000E3C0F">
        <w:rPr>
          <w:rFonts w:ascii="Traditional Arabic" w:hAnsi="Traditional Arabic" w:cs="Traditional Arabic" w:hint="cs"/>
          <w:b/>
          <w:bCs/>
          <w:sz w:val="34"/>
          <w:szCs w:val="34"/>
          <w:rtl/>
        </w:rPr>
        <w:t>والتعلم</w:t>
      </w:r>
    </w:p>
    <w:p w:rsidR="000E3C0F" w:rsidRDefault="000E3C0F" w:rsidP="000E3C0F">
      <w:pPr>
        <w:spacing w:line="360" w:lineRule="auto"/>
        <w:rPr>
          <w:rFonts w:ascii="Traditional Arabic" w:hAnsi="Traditional Arabic" w:cs="Traditional Arabic"/>
          <w:sz w:val="34"/>
          <w:szCs w:val="34"/>
          <w:rtl/>
        </w:rPr>
      </w:pP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هي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سبب</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نشوء</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الحضارات</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الإنسانية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وتطورها،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فهي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الكلمة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الأولى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التي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أمر</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بها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الله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تعالى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سيدنا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محمد</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صلى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الله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عليه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وسلّم</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خلال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الوحي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جبريل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عليه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السلام</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بأن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يقرأ،</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وبالقراءة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تزداد</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المعرفة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لدى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الشخص</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وتزداد</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قدرته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فهم</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يُحيط</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وتطوير</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يحتاج</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إليه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لخدمة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حياته</w:t>
      </w:r>
      <w:r w:rsidRPr="000E3C0F">
        <w:rPr>
          <w:rFonts w:ascii="Traditional Arabic" w:hAnsi="Traditional Arabic" w:cs="Traditional Arabic"/>
          <w:sz w:val="34"/>
          <w:szCs w:val="34"/>
          <w:rtl/>
        </w:rPr>
        <w:t>.</w:t>
      </w:r>
    </w:p>
    <w:p w:rsidR="000E3C0F" w:rsidRDefault="000E3C0F" w:rsidP="000E3C0F">
      <w:pPr>
        <w:spacing w:line="360" w:lineRule="auto"/>
        <w:rPr>
          <w:rFonts w:ascii="Traditional Arabic" w:hAnsi="Traditional Arabic" w:cs="Traditional Arabic"/>
          <w:sz w:val="34"/>
          <w:szCs w:val="34"/>
          <w:rtl/>
        </w:rPr>
      </w:pP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مع</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زيادة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هذه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المعرفة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تزداد</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قوّة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المجتمع</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ويصبح</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قادراً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الاعتماد</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نفسه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بعيداً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الاتكال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المجتمعات</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الأخرى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التي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قد</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تستغل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حاجته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لمصالحها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والسيطرة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عليه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ونهب</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خيراته،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كما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يُمكن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خلال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التعرّف</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تاريخ</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الأمم</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ومعرفة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عادات</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وتقليد</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الشعوب</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الأخرى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والتفاعل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معها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بشكلٍ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أفضل،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وقد</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تكون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هذه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الكتب</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أو</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خلال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الأجهزة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الذكية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مثل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الحواسيب</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والآيباد</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وغيرها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الأجهزة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التي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يمكن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حفظ</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الكتب</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المختلفة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شكل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برامج</w:t>
      </w:r>
      <w:r w:rsidRPr="000E3C0F">
        <w:rPr>
          <w:rFonts w:ascii="Traditional Arabic" w:hAnsi="Traditional Arabic" w:cs="Traditional Arabic"/>
          <w:sz w:val="34"/>
          <w:szCs w:val="34"/>
          <w:rtl/>
        </w:rPr>
        <w:t>.</w:t>
      </w:r>
    </w:p>
    <w:p w:rsidR="000E3C0F" w:rsidRDefault="000E3C0F" w:rsidP="000E3C0F">
      <w:pPr>
        <w:spacing w:line="360" w:lineRule="auto"/>
        <w:rPr>
          <w:rFonts w:ascii="Traditional Arabic" w:hAnsi="Traditional Arabic" w:cs="Traditional Arabic"/>
          <w:sz w:val="34"/>
          <w:szCs w:val="34"/>
          <w:rtl/>
        </w:rPr>
      </w:pP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تتعدّد</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أهداف</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التي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يلجأ</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إليها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الأشخاص؛</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فهناك</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للمتعة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ولقضاء</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الوقت</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وللتسلية،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وهناك</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التي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تعتمد</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عليها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الدراسة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الأكاديمية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وغيرها،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ولكن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اختلاف</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الأهداف</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إلا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أنَّ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الشخص</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الذي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يرغب</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بترسيخ</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يقرؤه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ويستطيع</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استرجاعه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لاحقاً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عليه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اتباع</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طريقة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المادة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تمهيديةً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سريعةً،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فما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أهميّة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هذه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التمهيدية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وما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هي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فوائدها؟</w:t>
      </w:r>
    </w:p>
    <w:p w:rsidR="000E3C0F" w:rsidRPr="000E3C0F" w:rsidRDefault="000E3C0F" w:rsidP="000E3C0F">
      <w:pPr>
        <w:spacing w:line="360" w:lineRule="auto"/>
        <w:rPr>
          <w:rFonts w:ascii="Traditional Arabic" w:hAnsi="Traditional Arabic" w:cs="Traditional Arabic"/>
          <w:b/>
          <w:bCs/>
          <w:sz w:val="34"/>
          <w:szCs w:val="34"/>
          <w:rtl/>
        </w:rPr>
      </w:pPr>
      <w:r w:rsidRPr="000E3C0F">
        <w:rPr>
          <w:rFonts w:ascii="Traditional Arabic" w:hAnsi="Traditional Arabic" w:cs="Traditional Arabic"/>
          <w:b/>
          <w:bCs/>
          <w:sz w:val="34"/>
          <w:szCs w:val="34"/>
          <w:rtl/>
        </w:rPr>
        <w:t xml:space="preserve"> </w:t>
      </w:r>
      <w:r w:rsidRPr="000E3C0F">
        <w:rPr>
          <w:rFonts w:ascii="Traditional Arabic" w:hAnsi="Traditional Arabic" w:cs="Traditional Arabic" w:hint="cs"/>
          <w:b/>
          <w:bCs/>
          <w:sz w:val="34"/>
          <w:szCs w:val="34"/>
          <w:rtl/>
        </w:rPr>
        <w:t>أهمية</w:t>
      </w:r>
      <w:r w:rsidRPr="000E3C0F">
        <w:rPr>
          <w:rFonts w:ascii="Traditional Arabic" w:hAnsi="Traditional Arabic" w:cs="Traditional Arabic"/>
          <w:b/>
          <w:bCs/>
          <w:sz w:val="34"/>
          <w:szCs w:val="34"/>
          <w:rtl/>
        </w:rPr>
        <w:t xml:space="preserve"> </w:t>
      </w:r>
      <w:r w:rsidRPr="000E3C0F">
        <w:rPr>
          <w:rFonts w:ascii="Traditional Arabic" w:hAnsi="Traditional Arabic" w:cs="Traditional Arabic" w:hint="cs"/>
          <w:b/>
          <w:bCs/>
          <w:sz w:val="34"/>
          <w:szCs w:val="34"/>
          <w:rtl/>
        </w:rPr>
        <w:t>القراءة</w:t>
      </w:r>
      <w:r w:rsidRPr="000E3C0F">
        <w:rPr>
          <w:rFonts w:ascii="Traditional Arabic" w:hAnsi="Traditional Arabic" w:cs="Traditional Arabic"/>
          <w:b/>
          <w:bCs/>
          <w:sz w:val="34"/>
          <w:szCs w:val="34"/>
          <w:rtl/>
        </w:rPr>
        <w:t xml:space="preserve"> </w:t>
      </w:r>
      <w:r w:rsidRPr="000E3C0F">
        <w:rPr>
          <w:rFonts w:ascii="Traditional Arabic" w:hAnsi="Traditional Arabic" w:cs="Traditional Arabic" w:hint="cs"/>
          <w:b/>
          <w:bCs/>
          <w:sz w:val="34"/>
          <w:szCs w:val="34"/>
          <w:rtl/>
        </w:rPr>
        <w:t>التمهيدية</w:t>
      </w:r>
      <w:r w:rsidRPr="000E3C0F">
        <w:rPr>
          <w:rFonts w:ascii="Traditional Arabic" w:hAnsi="Traditional Arabic" w:cs="Traditional Arabic"/>
          <w:b/>
          <w:bCs/>
          <w:sz w:val="34"/>
          <w:szCs w:val="34"/>
          <w:rtl/>
        </w:rPr>
        <w:t xml:space="preserve"> </w:t>
      </w:r>
      <w:r w:rsidRPr="000E3C0F">
        <w:rPr>
          <w:rFonts w:ascii="Traditional Arabic" w:hAnsi="Traditional Arabic" w:cs="Traditional Arabic" w:hint="cs"/>
          <w:b/>
          <w:bCs/>
          <w:sz w:val="34"/>
          <w:szCs w:val="34"/>
          <w:rtl/>
        </w:rPr>
        <w:t>السريعة</w:t>
      </w:r>
    </w:p>
    <w:p w:rsidR="000E3C0F" w:rsidRDefault="000E3C0F" w:rsidP="000E3C0F">
      <w:pPr>
        <w:spacing w:line="360" w:lineRule="auto"/>
        <w:rPr>
          <w:rFonts w:ascii="Traditional Arabic" w:hAnsi="Traditional Arabic" w:cs="Traditional Arabic"/>
          <w:sz w:val="34"/>
          <w:szCs w:val="34"/>
          <w:rtl/>
        </w:rPr>
      </w:pP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تعتبر</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التمهيديّة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السريعة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خطوات</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النجاح</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في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للطلاب</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بشكلٍ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عام</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وخاصةً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لطلاب</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التوجيهي؛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فالكثير</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الطلاب</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يخفقون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الرغم</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دراستهم</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لساعاتٍ</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طويلةٍ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للمادة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ولكن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يكون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السبب</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هو</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عدم</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فتح</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المجال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أمام</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الدماغ</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لاستقبال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المعلومات</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بالشكل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الصحيح</w:t>
      </w:r>
      <w:r w:rsidRPr="000E3C0F">
        <w:rPr>
          <w:rFonts w:ascii="Traditional Arabic" w:hAnsi="Traditional Arabic" w:cs="Traditional Arabic"/>
          <w:sz w:val="34"/>
          <w:szCs w:val="34"/>
          <w:rtl/>
        </w:rPr>
        <w:t>.</w:t>
      </w:r>
    </w:p>
    <w:p w:rsidR="000E3C0F" w:rsidRDefault="000E3C0F" w:rsidP="000E3C0F">
      <w:pPr>
        <w:spacing w:line="360" w:lineRule="auto"/>
        <w:rPr>
          <w:rFonts w:ascii="Traditional Arabic" w:hAnsi="Traditional Arabic" w:cs="Traditional Arabic"/>
          <w:sz w:val="34"/>
          <w:szCs w:val="34"/>
          <w:rtl/>
        </w:rPr>
      </w:pPr>
      <w:r w:rsidRPr="000E3C0F">
        <w:rPr>
          <w:rFonts w:ascii="Traditional Arabic" w:hAnsi="Traditional Arabic" w:cs="Traditional Arabic"/>
          <w:sz w:val="34"/>
          <w:szCs w:val="34"/>
          <w:rtl/>
        </w:rPr>
        <w:lastRenderedPageBreak/>
        <w:t xml:space="preserve"> </w:t>
      </w:r>
      <w:r w:rsidRPr="000E3C0F">
        <w:rPr>
          <w:rFonts w:ascii="Traditional Arabic" w:hAnsi="Traditional Arabic" w:cs="Traditional Arabic" w:hint="cs"/>
          <w:sz w:val="34"/>
          <w:szCs w:val="34"/>
          <w:rtl/>
        </w:rPr>
        <w:t>القراءة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التمهيدية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السريعة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تتم</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خلال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المادة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بشكلٍ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سريع</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وعدم</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التمعن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فيها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بشكلٍ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كبيرٍ</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أو</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محاولة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الوقوف</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كل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نقطة،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وإنما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يقرأ</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القارى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أربع</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إلى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خمس</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كلمات</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في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الوقت</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نفسه،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بينما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البطيئة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يقوم</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القارىء</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فيها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كلمةٍ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واحدةٍ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في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كل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مرةٍ</w:t>
      </w:r>
      <w:r w:rsidRPr="000E3C0F">
        <w:rPr>
          <w:rFonts w:ascii="Traditional Arabic" w:hAnsi="Traditional Arabic" w:cs="Traditional Arabic"/>
          <w:sz w:val="34"/>
          <w:szCs w:val="34"/>
          <w:rtl/>
        </w:rPr>
        <w:t xml:space="preserve">. </w:t>
      </w:r>
    </w:p>
    <w:p w:rsidR="000E3C0F" w:rsidRDefault="000E3C0F" w:rsidP="000E3C0F">
      <w:pPr>
        <w:spacing w:line="360" w:lineRule="auto"/>
        <w:rPr>
          <w:rFonts w:ascii="Traditional Arabic" w:hAnsi="Traditional Arabic" w:cs="Traditional Arabic"/>
          <w:sz w:val="34"/>
          <w:szCs w:val="34"/>
          <w:rtl/>
        </w:rPr>
      </w:pPr>
      <w:r w:rsidRPr="000E3C0F">
        <w:rPr>
          <w:rFonts w:ascii="Traditional Arabic" w:hAnsi="Traditional Arabic" w:cs="Traditional Arabic" w:hint="cs"/>
          <w:sz w:val="34"/>
          <w:szCs w:val="34"/>
          <w:rtl/>
        </w:rPr>
        <w:t>يستطيع</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الدماغ</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خلال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التمهيدية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أن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يأتي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جميع</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المعلومات</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وترسيخ</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بعضها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وحفظها،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كما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أنه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يكون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قادراً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ربط</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المعلومات</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معاً،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فعند</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الشخص</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للمادة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بشكلٍ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بطيءٍ</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فإن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الدماغ</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يستطيع</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ربط</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المعلومات</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التي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يمر</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عليها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القارىء</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مع</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هو</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آتٍ</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مما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يجعله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يركِّز</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يحتاجه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لاحقاً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في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المادة،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وهذا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يزيد</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الحفظ</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وترسيخ</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المعلومات</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المهمة</w:t>
      </w:r>
      <w:r w:rsidRPr="000E3C0F">
        <w:rPr>
          <w:rFonts w:ascii="Traditional Arabic" w:hAnsi="Traditional Arabic" w:cs="Traditional Arabic"/>
          <w:sz w:val="34"/>
          <w:szCs w:val="34"/>
          <w:rtl/>
        </w:rPr>
        <w:t xml:space="preserve">. </w:t>
      </w:r>
    </w:p>
    <w:p w:rsidR="000E3C0F" w:rsidRPr="000E3C0F" w:rsidRDefault="000E3C0F" w:rsidP="000E3C0F">
      <w:pPr>
        <w:spacing w:line="360" w:lineRule="auto"/>
        <w:rPr>
          <w:rFonts w:ascii="Traditional Arabic" w:hAnsi="Traditional Arabic" w:cs="Traditional Arabic"/>
          <w:sz w:val="34"/>
          <w:szCs w:val="34"/>
          <w:rtl/>
        </w:rPr>
      </w:pPr>
      <w:r w:rsidRPr="000E3C0F">
        <w:rPr>
          <w:rFonts w:ascii="Traditional Arabic" w:hAnsi="Traditional Arabic" w:cs="Traditional Arabic" w:hint="cs"/>
          <w:sz w:val="34"/>
          <w:szCs w:val="34"/>
          <w:rtl/>
        </w:rPr>
        <w:t>إنّ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عملية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البطيئة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التي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تأتي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بعد</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التمهيدية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تصبح</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أسهل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الدماغ؛</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حيث</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يشعر</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بأن</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هذه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المعلومات</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مرت</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عليه</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ويستطيع</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التعامل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معها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بشكلٍ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أفضل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مما</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لو</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قام</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الشخص</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بالقراءة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البطيئة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مباشرةً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فسيجد</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الدماغ</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صعوبةً</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في</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التعامل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مع</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المعلومات</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ويحتاج</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إلى</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وقتٍ</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أطول</w:t>
      </w:r>
      <w:r w:rsidRPr="000E3C0F">
        <w:rPr>
          <w:rFonts w:ascii="Traditional Arabic" w:hAnsi="Traditional Arabic" w:cs="Traditional Arabic"/>
          <w:sz w:val="34"/>
          <w:szCs w:val="34"/>
          <w:rtl/>
        </w:rPr>
        <w:t xml:space="preserve"> </w:t>
      </w:r>
      <w:r w:rsidRPr="000E3C0F">
        <w:rPr>
          <w:rFonts w:ascii="Traditional Arabic" w:hAnsi="Traditional Arabic" w:cs="Traditional Arabic" w:hint="cs"/>
          <w:sz w:val="34"/>
          <w:szCs w:val="34"/>
          <w:rtl/>
        </w:rPr>
        <w:t>للتعامل</w:t>
      </w:r>
      <w:r w:rsidRPr="000E3C0F">
        <w:rPr>
          <w:rFonts w:ascii="Traditional Arabic" w:hAnsi="Traditional Arabic" w:cs="Traditional Arabic"/>
          <w:sz w:val="34"/>
          <w:szCs w:val="34"/>
          <w:rtl/>
        </w:rPr>
        <w:t xml:space="preserve"> </w:t>
      </w:r>
      <w:r>
        <w:rPr>
          <w:rFonts w:ascii="Traditional Arabic" w:hAnsi="Traditional Arabic" w:cs="Traditional Arabic" w:hint="cs"/>
          <w:sz w:val="34"/>
          <w:szCs w:val="34"/>
          <w:rtl/>
        </w:rPr>
        <w:t>معها</w:t>
      </w:r>
    </w:p>
    <w:p w:rsidR="00EF6B96" w:rsidRPr="00567419" w:rsidRDefault="00EF6B96" w:rsidP="000E3C0F">
      <w:pPr>
        <w:spacing w:line="360" w:lineRule="auto"/>
        <w:jc w:val="mediumKashida"/>
        <w:rPr>
          <w:rFonts w:ascii="Traditional Arabic" w:hAnsi="Traditional Arabic" w:cs="Traditional Arabic"/>
          <w:sz w:val="34"/>
          <w:szCs w:val="34"/>
        </w:rPr>
      </w:pPr>
    </w:p>
    <w:sectPr w:rsidR="00EF6B96" w:rsidRPr="00567419" w:rsidSect="000E3C0F">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19"/>
    <w:rsid w:val="000E3C0F"/>
    <w:rsid w:val="0013184C"/>
    <w:rsid w:val="00567419"/>
    <w:rsid w:val="00737C98"/>
    <w:rsid w:val="00EF6B96"/>
    <w:rsid w:val="00F51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E779"/>
  <w15:chartTrackingRefBased/>
  <w15:docId w15:val="{20D9BAE4-68A5-4A68-B6E3-F75FF361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0E3C0F"/>
    <w:pPr>
      <w:bidi/>
      <w:spacing w:after="0" w:line="240" w:lineRule="auto"/>
    </w:pPr>
    <w:rPr>
      <w:rFonts w:eastAsiaTheme="minorEastAsia"/>
    </w:rPr>
  </w:style>
  <w:style w:type="character" w:customStyle="1" w:styleId="Char">
    <w:name w:val="بلا تباعد Char"/>
    <w:basedOn w:val="a0"/>
    <w:link w:val="a3"/>
    <w:uiPriority w:val="1"/>
    <w:rsid w:val="000E3C0F"/>
    <w:rPr>
      <w:rFonts w:eastAsiaTheme="minorEastAsia"/>
    </w:rPr>
  </w:style>
  <w:style w:type="paragraph" w:styleId="a4">
    <w:name w:val="Balloon Text"/>
    <w:basedOn w:val="a"/>
    <w:link w:val="Char0"/>
    <w:uiPriority w:val="99"/>
    <w:semiHidden/>
    <w:unhideWhenUsed/>
    <w:rsid w:val="00F51E85"/>
    <w:pPr>
      <w:spacing w:after="0" w:line="240" w:lineRule="auto"/>
    </w:pPr>
    <w:rPr>
      <w:rFonts w:ascii="Tahoma" w:hAnsi="Tahoma" w:cs="Tahoma"/>
      <w:sz w:val="18"/>
      <w:szCs w:val="18"/>
    </w:rPr>
  </w:style>
  <w:style w:type="character" w:customStyle="1" w:styleId="Char0">
    <w:name w:val="نص في بالون Char"/>
    <w:basedOn w:val="a0"/>
    <w:link w:val="a4"/>
    <w:uiPriority w:val="99"/>
    <w:semiHidden/>
    <w:rsid w:val="00F51E8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عبدالعزيز غالب الجريسان</PublishDate>
  <Abstract/>
  <CompanyAddress>اسم المدرسة/ الجامعة التطبيقية</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752</Words>
  <Characters>4289</Characters>
  <Application>Microsoft Office Word</Application>
  <DocSecurity>0</DocSecurity>
  <Lines>35</Lines>
  <Paragraphs>10</Paragraphs>
  <ScaleCrop>false</ScaleCrop>
  <Company>إشراف المعلم/ محمد رمضان</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القراءة المتعمقة والقراءة التمهيدية</dc:title>
  <dc:subject/>
  <dc:creator>well</dc:creator>
  <cp:keywords/>
  <dc:description/>
  <cp:lastModifiedBy>well</cp:lastModifiedBy>
  <cp:revision>4</cp:revision>
  <cp:lastPrinted>2017-12-20T20:56:00Z</cp:lastPrinted>
  <dcterms:created xsi:type="dcterms:W3CDTF">2017-12-05T14:34:00Z</dcterms:created>
  <dcterms:modified xsi:type="dcterms:W3CDTF">2017-12-20T20:56:00Z</dcterms:modified>
</cp:coreProperties>
</file>