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2073533286"/>
        <w:docPartObj>
          <w:docPartGallery w:val="Cover Pages"/>
          <w:docPartUnique/>
        </w:docPartObj>
      </w:sdtPr>
      <w:sdtEndPr>
        <w:rPr>
          <w:rFonts w:ascii="Traditional Arabic" w:hAnsi="Traditional Arabic" w:cs="Traditional Arabic"/>
          <w:color w:val="auto"/>
          <w:sz w:val="32"/>
          <w:rtl w:val="0"/>
        </w:rPr>
      </w:sdtEndPr>
      <w:sdtContent>
        <w:p w:rsidR="000D5920" w:rsidRDefault="000D5920">
          <w:pPr>
            <w:pStyle w:val="NoSpacing"/>
            <w:spacing w:before="1540" w:after="240"/>
            <w:jc w:val="center"/>
            <w:rPr>
              <w:color w:val="5B9BD5" w:themeColor="accent1"/>
            </w:rPr>
          </w:pPr>
          <w:r>
            <w:rPr>
              <w:noProof/>
              <w:color w:val="5B9BD5" w:themeColor="accent1"/>
            </w:rPr>
            <w:drawing>
              <wp:inline distT="0" distB="0" distL="0" distR="0" wp14:anchorId="2CEBFE61" wp14:editId="748AAC12">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02"/>
              <w:szCs w:val="102"/>
              <w:rtl/>
            </w:rPr>
            <w:alias w:val="العنوان"/>
            <w:tag w:val=""/>
            <w:id w:val="1735040861"/>
            <w:placeholder>
              <w:docPart w:val="4B88DF6CC3C84899818082B321D40A27"/>
            </w:placeholder>
            <w:dataBinding w:prefixMappings="xmlns:ns0='http://purl.org/dc/elements/1.1/' xmlns:ns1='http://schemas.openxmlformats.org/package/2006/metadata/core-properties' " w:xpath="/ns1:coreProperties[1]/ns0:title[1]" w:storeItemID="{6C3C8BC8-F283-45AE-878A-BAB7291924A1}"/>
            <w:text/>
          </w:sdtPr>
          <w:sdtEndPr/>
          <w:sdtContent>
            <w:p w:rsidR="000D5920" w:rsidRPr="000D5920" w:rsidRDefault="000D5920" w:rsidP="000D5920">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0"/>
                  <w:szCs w:val="110"/>
                </w:rPr>
              </w:pPr>
              <w:r w:rsidRPr="000D5920">
                <w:rPr>
                  <w:rFonts w:asciiTheme="majorHAnsi" w:eastAsiaTheme="majorEastAsia" w:hAnsiTheme="majorHAnsi" w:cs="Times New Roman" w:hint="cs"/>
                  <w:b/>
                  <w:bCs/>
                  <w:caps/>
                  <w:color w:val="5B9BD5" w:themeColor="accent1"/>
                  <w:sz w:val="102"/>
                  <w:szCs w:val="102"/>
                  <w:rtl/>
                </w:rPr>
                <w:t>الخلايا</w:t>
              </w:r>
              <w:r w:rsidRPr="000D5920">
                <w:rPr>
                  <w:rFonts w:asciiTheme="majorHAnsi" w:eastAsiaTheme="majorEastAsia" w:hAnsiTheme="majorHAnsi" w:cs="Times New Roman"/>
                  <w:b/>
                  <w:bCs/>
                  <w:caps/>
                  <w:color w:val="5B9BD5" w:themeColor="accent1"/>
                  <w:sz w:val="102"/>
                  <w:szCs w:val="102"/>
                  <w:rtl/>
                </w:rPr>
                <w:t xml:space="preserve"> </w:t>
              </w:r>
              <w:r w:rsidRPr="000D5920">
                <w:rPr>
                  <w:rFonts w:asciiTheme="majorHAnsi" w:eastAsiaTheme="majorEastAsia" w:hAnsiTheme="majorHAnsi" w:cs="Times New Roman" w:hint="cs"/>
                  <w:b/>
                  <w:bCs/>
                  <w:caps/>
                  <w:color w:val="5B9BD5" w:themeColor="accent1"/>
                  <w:sz w:val="102"/>
                  <w:szCs w:val="102"/>
                  <w:rtl/>
                </w:rPr>
                <w:t>الجذعية</w:t>
              </w:r>
            </w:p>
          </w:sdtContent>
        </w:sdt>
        <w:p w:rsidR="000D5920" w:rsidRDefault="000D5920">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6F830C5" wp14:editId="7A739D5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4"/>
                                    <w:szCs w:val="4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D5920" w:rsidRPr="000D5920" w:rsidRDefault="000D5920" w:rsidP="00255420">
                                    <w:pPr>
                                      <w:pStyle w:val="NoSpacing"/>
                                      <w:spacing w:after="40"/>
                                      <w:jc w:val="center"/>
                                      <w:rPr>
                                        <w:b/>
                                        <w:bCs/>
                                        <w:caps/>
                                        <w:color w:val="5B9BD5" w:themeColor="accent1"/>
                                        <w:sz w:val="44"/>
                                        <w:szCs w:val="44"/>
                                      </w:rPr>
                                    </w:pPr>
                                    <w:r w:rsidRPr="000D5920">
                                      <w:rPr>
                                        <w:rFonts w:hint="cs"/>
                                        <w:b/>
                                        <w:bCs/>
                                        <w:caps/>
                                        <w:color w:val="5B9BD5" w:themeColor="accent1"/>
                                        <w:sz w:val="44"/>
                                        <w:szCs w:val="44"/>
                                        <w:rtl/>
                                      </w:rPr>
                                      <w:t xml:space="preserve">عمل الطالب/ </w:t>
                                    </w:r>
                                    <w:r w:rsidR="00255420">
                                      <w:rPr>
                                        <w:rFonts w:hint="cs"/>
                                        <w:b/>
                                        <w:bCs/>
                                        <w:caps/>
                                        <w:color w:val="5B9BD5" w:themeColor="accent1"/>
                                        <w:sz w:val="44"/>
                                        <w:szCs w:val="44"/>
                                        <w:rtl/>
                                      </w:rPr>
                                      <w:t xml:space="preserve"> </w:t>
                                    </w:r>
                                  </w:p>
                                </w:sdtContent>
                              </w:sdt>
                              <w:p w:rsidR="000D5920" w:rsidRPr="000D5920" w:rsidRDefault="00255420" w:rsidP="00255420">
                                <w:pPr>
                                  <w:pStyle w:val="NoSpacing"/>
                                  <w:jc w:val="center"/>
                                  <w:rPr>
                                    <w:b/>
                                    <w:bCs/>
                                    <w:color w:val="5B9BD5" w:themeColor="accent1"/>
                                    <w:sz w:val="38"/>
                                    <w:szCs w:val="38"/>
                                  </w:rPr>
                                </w:pPr>
                                <w:sdt>
                                  <w:sdtPr>
                                    <w:rPr>
                                      <w:b/>
                                      <w:bCs/>
                                      <w:caps/>
                                      <w:color w:val="5B9BD5" w:themeColor="accent1"/>
                                      <w:sz w:val="38"/>
                                      <w:szCs w:val="38"/>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sidR="000D5920" w:rsidRPr="000D5920">
                                      <w:rPr>
                                        <w:rFonts w:hint="cs"/>
                                        <w:b/>
                                        <w:bCs/>
                                        <w:caps/>
                                        <w:color w:val="5B9BD5" w:themeColor="accent1"/>
                                        <w:sz w:val="38"/>
                                        <w:szCs w:val="38"/>
                                        <w:rtl/>
                                      </w:rPr>
                                      <w:t xml:space="preserve">إشراف المعلم/ </w:t>
                                    </w:r>
                                    <w:r>
                                      <w:rPr>
                                        <w:rFonts w:hint="cs"/>
                                        <w:b/>
                                        <w:bCs/>
                                        <w:caps/>
                                        <w:color w:val="5B9BD5" w:themeColor="accent1"/>
                                        <w:sz w:val="38"/>
                                        <w:szCs w:val="38"/>
                                        <w:rtl/>
                                      </w:rPr>
                                      <w:t xml:space="preserve"> </w:t>
                                    </w:r>
                                  </w:sdtContent>
                                </w:sdt>
                              </w:p>
                              <w:p w:rsidR="000D5920" w:rsidRPr="000D5920" w:rsidRDefault="00255420" w:rsidP="000D5920">
                                <w:pPr>
                                  <w:pStyle w:val="NoSpacing"/>
                                  <w:jc w:val="center"/>
                                  <w:rPr>
                                    <w:b/>
                                    <w:bCs/>
                                    <w:color w:val="5B9BD5" w:themeColor="accent1"/>
                                    <w:sz w:val="38"/>
                                    <w:szCs w:val="38"/>
                                  </w:rPr>
                                </w:pPr>
                                <w:sdt>
                                  <w:sdtPr>
                                    <w:rPr>
                                      <w:b/>
                                      <w:bCs/>
                                      <w:color w:val="5B9BD5" w:themeColor="accent1"/>
                                      <w:sz w:val="38"/>
                                      <w:szCs w:val="3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D5920">
                                      <w:rPr>
                                        <w:b/>
                                        <w:bCs/>
                                        <w:color w:val="5B9BD5" w:themeColor="accent1"/>
                                        <w:sz w:val="38"/>
                                        <w:szCs w:val="3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6F830C5"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4"/>
                              <w:szCs w:val="4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D5920" w:rsidRPr="000D5920" w:rsidRDefault="000D5920" w:rsidP="00255420">
                              <w:pPr>
                                <w:pStyle w:val="NoSpacing"/>
                                <w:spacing w:after="40"/>
                                <w:jc w:val="center"/>
                                <w:rPr>
                                  <w:b/>
                                  <w:bCs/>
                                  <w:caps/>
                                  <w:color w:val="5B9BD5" w:themeColor="accent1"/>
                                  <w:sz w:val="44"/>
                                  <w:szCs w:val="44"/>
                                </w:rPr>
                              </w:pPr>
                              <w:r w:rsidRPr="000D5920">
                                <w:rPr>
                                  <w:rFonts w:hint="cs"/>
                                  <w:b/>
                                  <w:bCs/>
                                  <w:caps/>
                                  <w:color w:val="5B9BD5" w:themeColor="accent1"/>
                                  <w:sz w:val="44"/>
                                  <w:szCs w:val="44"/>
                                  <w:rtl/>
                                </w:rPr>
                                <w:t xml:space="preserve">عمل الطالب/ </w:t>
                              </w:r>
                              <w:r w:rsidR="00255420">
                                <w:rPr>
                                  <w:rFonts w:hint="cs"/>
                                  <w:b/>
                                  <w:bCs/>
                                  <w:caps/>
                                  <w:color w:val="5B9BD5" w:themeColor="accent1"/>
                                  <w:sz w:val="44"/>
                                  <w:szCs w:val="44"/>
                                  <w:rtl/>
                                </w:rPr>
                                <w:t xml:space="preserve"> </w:t>
                              </w:r>
                            </w:p>
                          </w:sdtContent>
                        </w:sdt>
                        <w:p w:rsidR="000D5920" w:rsidRPr="000D5920" w:rsidRDefault="00255420" w:rsidP="00255420">
                          <w:pPr>
                            <w:pStyle w:val="NoSpacing"/>
                            <w:jc w:val="center"/>
                            <w:rPr>
                              <w:b/>
                              <w:bCs/>
                              <w:color w:val="5B9BD5" w:themeColor="accent1"/>
                              <w:sz w:val="38"/>
                              <w:szCs w:val="38"/>
                            </w:rPr>
                          </w:pPr>
                          <w:sdt>
                            <w:sdtPr>
                              <w:rPr>
                                <w:b/>
                                <w:bCs/>
                                <w:caps/>
                                <w:color w:val="5B9BD5" w:themeColor="accent1"/>
                                <w:sz w:val="38"/>
                                <w:szCs w:val="38"/>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sidR="000D5920" w:rsidRPr="000D5920">
                                <w:rPr>
                                  <w:rFonts w:hint="cs"/>
                                  <w:b/>
                                  <w:bCs/>
                                  <w:caps/>
                                  <w:color w:val="5B9BD5" w:themeColor="accent1"/>
                                  <w:sz w:val="38"/>
                                  <w:szCs w:val="38"/>
                                  <w:rtl/>
                                </w:rPr>
                                <w:t xml:space="preserve">إشراف المعلم/ </w:t>
                              </w:r>
                              <w:r>
                                <w:rPr>
                                  <w:rFonts w:hint="cs"/>
                                  <w:b/>
                                  <w:bCs/>
                                  <w:caps/>
                                  <w:color w:val="5B9BD5" w:themeColor="accent1"/>
                                  <w:sz w:val="38"/>
                                  <w:szCs w:val="38"/>
                                  <w:rtl/>
                                </w:rPr>
                                <w:t xml:space="preserve"> </w:t>
                              </w:r>
                            </w:sdtContent>
                          </w:sdt>
                        </w:p>
                        <w:p w:rsidR="000D5920" w:rsidRPr="000D5920" w:rsidRDefault="00255420" w:rsidP="000D5920">
                          <w:pPr>
                            <w:pStyle w:val="NoSpacing"/>
                            <w:jc w:val="center"/>
                            <w:rPr>
                              <w:b/>
                              <w:bCs/>
                              <w:color w:val="5B9BD5" w:themeColor="accent1"/>
                              <w:sz w:val="38"/>
                              <w:szCs w:val="38"/>
                            </w:rPr>
                          </w:pPr>
                          <w:sdt>
                            <w:sdtPr>
                              <w:rPr>
                                <w:b/>
                                <w:bCs/>
                                <w:color w:val="5B9BD5" w:themeColor="accent1"/>
                                <w:sz w:val="38"/>
                                <w:szCs w:val="3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D5920">
                                <w:rPr>
                                  <w:b/>
                                  <w:bCs/>
                                  <w:color w:val="5B9BD5" w:themeColor="accent1"/>
                                  <w:sz w:val="38"/>
                                  <w:szCs w:val="38"/>
                                  <w:rtl/>
                                </w:rPr>
                                <w:t xml:space="preserve">     </w:t>
                              </w:r>
                            </w:sdtContent>
                          </w:sdt>
                        </w:p>
                      </w:txbxContent>
                    </v:textbox>
                    <w10:wrap anchorx="margin" anchory="page"/>
                  </v:shape>
                </w:pict>
              </mc:Fallback>
            </mc:AlternateContent>
          </w:r>
          <w:r>
            <w:rPr>
              <w:noProof/>
              <w:color w:val="5B9BD5" w:themeColor="accent1"/>
            </w:rPr>
            <w:drawing>
              <wp:inline distT="0" distB="0" distL="0" distR="0" wp14:anchorId="406870D8" wp14:editId="01BDDEB9">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D5920" w:rsidRDefault="000D5920">
          <w:pPr>
            <w:bidi w:val="0"/>
            <w:rPr>
              <w:rFonts w:ascii="Traditional Arabic" w:hAnsi="Traditional Arabic" w:cs="Traditional Arabic"/>
              <w:sz w:val="32"/>
              <w:rtl/>
            </w:rPr>
          </w:pPr>
          <w:r>
            <w:rPr>
              <w:rFonts w:ascii="Traditional Arabic" w:hAnsi="Traditional Arabic" w:cs="Traditional Arabic"/>
              <w:sz w:val="32"/>
              <w:rtl/>
            </w:rPr>
            <w:br w:type="page"/>
          </w:r>
        </w:p>
      </w:sdtContent>
    </w:sdt>
    <w:p w:rsidR="00097B51" w:rsidRPr="000D5920" w:rsidRDefault="00097B51" w:rsidP="000D5920">
      <w:pPr>
        <w:jc w:val="center"/>
        <w:rPr>
          <w:rFonts w:ascii="Traditional Arabic" w:hAnsi="Traditional Arabic" w:cs="Traditional Arabic"/>
          <w:b/>
          <w:bCs/>
          <w:sz w:val="44"/>
          <w:szCs w:val="44"/>
          <w:u w:val="single"/>
          <w:rtl/>
        </w:rPr>
      </w:pPr>
      <w:bookmarkStart w:id="0" w:name="_GoBack"/>
      <w:r w:rsidRPr="000D5920">
        <w:rPr>
          <w:rFonts w:ascii="Traditional Arabic" w:hAnsi="Traditional Arabic" w:cs="Traditional Arabic"/>
          <w:b/>
          <w:bCs/>
          <w:sz w:val="44"/>
          <w:szCs w:val="44"/>
          <w:u w:val="single"/>
          <w:rtl/>
        </w:rPr>
        <w:lastRenderedPageBreak/>
        <w:t>الخلايا الجذعية</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وتُسمّى أيضًا الخلايا الجذرية</w:t>
      </w:r>
      <w:r>
        <w:rPr>
          <w:rFonts w:ascii="Traditional Arabic" w:hAnsi="Traditional Arabic" w:cs="Traditional Arabic"/>
          <w:sz w:val="32"/>
          <w:rtl/>
        </w:rPr>
        <w:t xml:space="preserve"> </w:t>
      </w:r>
      <w:r w:rsidRPr="00097B51">
        <w:rPr>
          <w:rFonts w:ascii="Traditional Arabic" w:hAnsi="Traditional Arabic" w:cs="Traditional Arabic"/>
          <w:sz w:val="32"/>
          <w:rtl/>
        </w:rPr>
        <w:t xml:space="preserve"> (بالإنجليزية: </w:t>
      </w:r>
      <w:r w:rsidRPr="00097B51">
        <w:rPr>
          <w:rFonts w:ascii="Traditional Arabic" w:hAnsi="Traditional Arabic" w:cs="Traditional Arabic"/>
          <w:sz w:val="32"/>
        </w:rPr>
        <w:t>Stem Cells</w:t>
      </w:r>
      <w:r w:rsidRPr="00097B51">
        <w:rPr>
          <w:rFonts w:ascii="Traditional Arabic" w:hAnsi="Traditional Arabic" w:cs="Traditional Arabic"/>
          <w:sz w:val="32"/>
          <w:rtl/>
        </w:rPr>
        <w:t>) هي خلايا غير متخصصة ولكن يمكنها أن تتمايز إلى خلايا متخصصة، مع تميزها بقدرتها على الانقسام لتجدد نفسها باستمرار</w:t>
      </w:r>
      <w:r>
        <w:rPr>
          <w:rFonts w:ascii="Traditional Arabic" w:hAnsi="Traditional Arabic" w:cs="Traditional Arabic" w:hint="cs"/>
          <w:sz w:val="32"/>
          <w:rtl/>
        </w:rPr>
        <w:t>.</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يُعد اكتشاف الخلايا الجذعية من المكتشفات الطبية الحديثة نسبيًا، ويُعول عليها أن تكون مصدرًا مهمًّا في علاج الكثير من الأمراض المزمنة والإصابات الخطيرة، كأمراض الكلى والكبد والبنكرياس وإصابات الجهاز العصبي والجهاز العظمي.</w:t>
      </w:r>
    </w:p>
    <w:p w:rsidR="00097B51" w:rsidRPr="00097B51" w:rsidRDefault="00097B51" w:rsidP="00097B51">
      <w:pPr>
        <w:jc w:val="mediumKashida"/>
        <w:rPr>
          <w:rFonts w:ascii="Traditional Arabic" w:hAnsi="Traditional Arabic" w:cs="Traditional Arabic"/>
          <w:b/>
          <w:bCs/>
          <w:sz w:val="32"/>
          <w:u w:val="single"/>
          <w:rtl/>
        </w:rPr>
      </w:pPr>
      <w:r w:rsidRPr="00097B51">
        <w:rPr>
          <w:rFonts w:ascii="Traditional Arabic" w:hAnsi="Traditional Arabic" w:cs="Traditional Arabic"/>
          <w:b/>
          <w:bCs/>
          <w:sz w:val="32"/>
          <w:u w:val="single"/>
          <w:rtl/>
        </w:rPr>
        <w:t>نمو الجنين والقدرة على التخصص</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 xml:space="preserve">يبدأ تكوين الإنسان بتكون اللاقحة عندما يقوم الحيوان المنوي باخصاب البويضة، هذه اللاقحة (البويضة المخصبة) تتكون من خلية واحدة ولكنها تمتلك القدرة الكاملة على تكوين أي نوع من أنواع الخلايا ولذلك تسمى خلية جذعية كاملة القدرة (بالإنجليزية: </w:t>
      </w:r>
      <w:r w:rsidRPr="00097B51">
        <w:rPr>
          <w:rFonts w:ascii="Traditional Arabic" w:hAnsi="Traditional Arabic" w:cs="Traditional Arabic"/>
          <w:sz w:val="32"/>
        </w:rPr>
        <w:t>Totipotent Stem Cell)[4</w:t>
      </w:r>
      <w:r w:rsidRPr="00097B51">
        <w:rPr>
          <w:rFonts w:ascii="Traditional Arabic" w:hAnsi="Traditional Arabic" w:cs="Traditional Arabic"/>
          <w:sz w:val="32"/>
          <w:rtl/>
        </w:rPr>
        <w:t xml:space="preserve">]، تبدأ اللاقحة بالانقسام إلى مجموعة من الخلايا التي لها أيضًا القدرة الكاملة على التخصص، ويمكن لأي خلية من هذه الخلايا إذا زُرعت في رحم أنثى أن تكون جنيناً كاملاً مع الأنسجة المدعمة له [3][4]، تبدأ الخلايا كاملة القدرة بعد عدة دورات من الانقسام بالتخصص مكونة كرة مفرغة تسمى الحويصلة الجذعية (بالإنجليزية: </w:t>
      </w:r>
      <w:r w:rsidRPr="00097B51">
        <w:rPr>
          <w:rFonts w:ascii="Traditional Arabic" w:hAnsi="Traditional Arabic" w:cs="Traditional Arabic"/>
          <w:sz w:val="32"/>
        </w:rPr>
        <w:t>Blastocyst</w:t>
      </w:r>
      <w:r w:rsidRPr="00097B51">
        <w:rPr>
          <w:rFonts w:ascii="Traditional Arabic" w:hAnsi="Traditional Arabic" w:cs="Traditional Arabic"/>
          <w:sz w:val="32"/>
          <w:rtl/>
        </w:rPr>
        <w:t xml:space="preserve">)، ولهذه الحويصلة طبقة خارجية من الخلايا تكون المشيمة والأغشية المحيطة بالجنين المدعمة لنموه داخل الرحم، كما توجد في تجويف الكرة كتلة من الخلايا تسمى الكتلة الخلوية الداخلية (بالإنجليزية: </w:t>
      </w:r>
      <w:r w:rsidRPr="00097B51">
        <w:rPr>
          <w:rFonts w:ascii="Traditional Arabic" w:hAnsi="Traditional Arabic" w:cs="Traditional Arabic"/>
          <w:sz w:val="32"/>
        </w:rPr>
        <w:t>Inner Cell Mass</w:t>
      </w:r>
      <w:r w:rsidRPr="00097B51">
        <w:rPr>
          <w:rFonts w:ascii="Traditional Arabic" w:hAnsi="Traditional Arabic" w:cs="Traditional Arabic"/>
          <w:sz w:val="32"/>
          <w:rtl/>
        </w:rPr>
        <w:t xml:space="preserve">)، تُكون خلايا هذه الكتلة الجنين بجميع أنسجته وأعضائه لكنها وبخلاف الخلايا كاملة القدرة غير قادرة على تكوين كائن حي بمفردها بسبب كونها غير قادرة على تكوين الأنسجة المدعمة للجين، وتُسمى الخلايا الجذعية وافرة القدرة (بالإنجليزية: </w:t>
      </w:r>
      <w:r w:rsidRPr="00097B51">
        <w:rPr>
          <w:rFonts w:ascii="Traditional Arabic" w:hAnsi="Traditional Arabic" w:cs="Traditional Arabic"/>
          <w:sz w:val="32"/>
        </w:rPr>
        <w:t>Pluripotent Stem Cells) [4</w:t>
      </w:r>
      <w:r w:rsidRPr="00097B51">
        <w:rPr>
          <w:rFonts w:ascii="Traditional Arabic" w:hAnsi="Traditional Arabic" w:cs="Traditional Arabic"/>
          <w:sz w:val="32"/>
          <w:rtl/>
        </w:rPr>
        <w:t xml:space="preserve">]، تتكاثر هذه الخلايا بالانقسام المتكرر ثم تبدأ بإنتاج خلايا جذعية متخصصة كخلايا الدم الجذعية التي تكون كل خلايا الدم وخلايا العضلات الجذعية التي تكون العضلات وخلايا الجلد الجذعية التي تكون كل خلايا الجلد، هذه الخلايا المتخصصة تُسمى الخلايا الجذعية متعددة القدرات (بالإنجليزية: </w:t>
      </w:r>
      <w:r w:rsidRPr="00097B51">
        <w:rPr>
          <w:rFonts w:ascii="Traditional Arabic" w:hAnsi="Traditional Arabic" w:cs="Traditional Arabic"/>
          <w:sz w:val="32"/>
        </w:rPr>
        <w:t>Multipotent Stem Cells</w:t>
      </w:r>
      <w:r w:rsidRPr="00097B51">
        <w:rPr>
          <w:rFonts w:ascii="Traditional Arabic" w:hAnsi="Traditional Arabic" w:cs="Traditional Arabic"/>
          <w:sz w:val="32"/>
          <w:rtl/>
        </w:rPr>
        <w:t>) وهي الخلايا التي تُوجد في الجسم</w:t>
      </w:r>
      <w:r>
        <w:rPr>
          <w:rFonts w:ascii="Traditional Arabic" w:hAnsi="Traditional Arabic" w:cs="Traditional Arabic" w:hint="cs"/>
          <w:sz w:val="32"/>
          <w:rtl/>
        </w:rPr>
        <w:t>.</w:t>
      </w:r>
    </w:p>
    <w:p w:rsidR="00097B51" w:rsidRPr="00097B51" w:rsidRDefault="00097B51" w:rsidP="00097B51">
      <w:pPr>
        <w:jc w:val="mediumKashida"/>
        <w:rPr>
          <w:rFonts w:ascii="Traditional Arabic" w:hAnsi="Traditional Arabic" w:cs="Traditional Arabic"/>
          <w:b/>
          <w:bCs/>
          <w:sz w:val="32"/>
          <w:u w:val="single"/>
          <w:rtl/>
        </w:rPr>
      </w:pPr>
      <w:r w:rsidRPr="00097B51">
        <w:rPr>
          <w:rFonts w:ascii="Traditional Arabic" w:hAnsi="Traditional Arabic" w:cs="Traditional Arabic"/>
          <w:b/>
          <w:bCs/>
          <w:sz w:val="32"/>
          <w:u w:val="single"/>
          <w:rtl/>
        </w:rPr>
        <w:lastRenderedPageBreak/>
        <w:t>أنواع الخلايا الجذعية</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 xml:space="preserve">تُصنف الخلايا الجذعية بناء على طريقة الحصول عليها إلى خلايا جذعية جنينية وخلايا جذعية بالغة [4]، وتتلخص الفروق بينهما في أن للخلايا الجذعية الجنينة قدرة أكبر على التخصص وبأنها تنتج إنزيم التيلوميريز (بالإنجليزية: </w:t>
      </w:r>
      <w:r w:rsidRPr="00097B51">
        <w:rPr>
          <w:rFonts w:ascii="Traditional Arabic" w:hAnsi="Traditional Arabic" w:cs="Traditional Arabic"/>
          <w:sz w:val="32"/>
        </w:rPr>
        <w:t>Telomerase</w:t>
      </w:r>
      <w:r w:rsidRPr="00097B51">
        <w:rPr>
          <w:rFonts w:ascii="Traditional Arabic" w:hAnsi="Traditional Arabic" w:cs="Traditional Arabic"/>
          <w:sz w:val="32"/>
          <w:rtl/>
        </w:rPr>
        <w:t>) والذي يساعدها على الانقسام باستمرار، في المقابل الخلايا الجذعية البالغة لا تُنتج هذا الإنزيم إلا بكميات ضئيلة أو على فترات متباعدة مما يجعلها محدودة العمر.</w:t>
      </w:r>
    </w:p>
    <w:p w:rsidR="00097B51" w:rsidRPr="00097B51" w:rsidRDefault="00097B51" w:rsidP="00097B51">
      <w:pPr>
        <w:jc w:val="mediumKashida"/>
        <w:rPr>
          <w:rFonts w:ascii="Traditional Arabic" w:hAnsi="Traditional Arabic" w:cs="Traditional Arabic"/>
          <w:b/>
          <w:bCs/>
          <w:sz w:val="32"/>
          <w:u w:val="single"/>
          <w:rtl/>
        </w:rPr>
      </w:pPr>
      <w:r w:rsidRPr="00097B51">
        <w:rPr>
          <w:rFonts w:ascii="Traditional Arabic" w:hAnsi="Traditional Arabic" w:cs="Traditional Arabic"/>
          <w:b/>
          <w:bCs/>
          <w:sz w:val="32"/>
          <w:u w:val="single"/>
          <w:rtl/>
        </w:rPr>
        <w:t>الخلايا الجذعية الجنينية</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 xml:space="preserve">يتم الحصول على الخلايا الجذعية الجنينية (بالإنجليزية: </w:t>
      </w:r>
      <w:r w:rsidRPr="00097B51">
        <w:rPr>
          <w:rFonts w:ascii="Traditional Arabic" w:hAnsi="Traditional Arabic" w:cs="Traditional Arabic"/>
          <w:sz w:val="32"/>
        </w:rPr>
        <w:t>Embryonic Stem Cells</w:t>
      </w:r>
      <w:r w:rsidRPr="00097B51">
        <w:rPr>
          <w:rFonts w:ascii="Traditional Arabic" w:hAnsi="Traditional Arabic" w:cs="Traditional Arabic"/>
          <w:sz w:val="32"/>
          <w:rtl/>
        </w:rPr>
        <w:t>) من الكتلة الخلوية الداخلية للحويصلة الجذعية [4]، وهي خلايا جذعية وافرة القدرة، وهي تمتلك القدرة على التخصص لأي نوع من الخلايا البشرية عدا خلايا المشيمة والأغشية المحيطة بالجنين.</w:t>
      </w:r>
    </w:p>
    <w:p w:rsidR="00097B51" w:rsidRPr="00097B51" w:rsidRDefault="00097B51" w:rsidP="00097B51">
      <w:pPr>
        <w:jc w:val="mediumKashida"/>
        <w:rPr>
          <w:rFonts w:ascii="Traditional Arabic" w:hAnsi="Traditional Arabic" w:cs="Traditional Arabic"/>
          <w:b/>
          <w:bCs/>
          <w:sz w:val="32"/>
          <w:u w:val="single"/>
          <w:rtl/>
        </w:rPr>
      </w:pPr>
      <w:r w:rsidRPr="00097B51">
        <w:rPr>
          <w:rFonts w:ascii="Traditional Arabic" w:hAnsi="Traditional Arabic" w:cs="Traditional Arabic"/>
          <w:b/>
          <w:bCs/>
          <w:sz w:val="32"/>
          <w:u w:val="single"/>
          <w:rtl/>
        </w:rPr>
        <w:t>الخلايا الجذعية البالغة</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 xml:space="preserve">تُوجد الخلايا الجذعية البالغة (بالإنجليزية: </w:t>
      </w:r>
      <w:r w:rsidRPr="00097B51">
        <w:rPr>
          <w:rFonts w:ascii="Traditional Arabic" w:hAnsi="Traditional Arabic" w:cs="Traditional Arabic"/>
          <w:sz w:val="32"/>
        </w:rPr>
        <w:t>Adult Stem Cells</w:t>
      </w:r>
      <w:r w:rsidRPr="00097B51">
        <w:rPr>
          <w:rFonts w:ascii="Traditional Arabic" w:hAnsi="Traditional Arabic" w:cs="Traditional Arabic"/>
          <w:sz w:val="32"/>
          <w:rtl/>
        </w:rPr>
        <w:t>) في الأطفال والبالغين على حد سواء</w:t>
      </w:r>
      <w:r>
        <w:rPr>
          <w:rFonts w:ascii="Traditional Arabic" w:hAnsi="Traditional Arabic" w:cs="Traditional Arabic"/>
          <w:sz w:val="32"/>
          <w:rtl/>
        </w:rPr>
        <w:t xml:space="preserve"> </w:t>
      </w:r>
      <w:r w:rsidRPr="00097B51">
        <w:rPr>
          <w:rFonts w:ascii="Traditional Arabic" w:hAnsi="Traditional Arabic" w:cs="Traditional Arabic"/>
          <w:sz w:val="32"/>
          <w:rtl/>
        </w:rPr>
        <w:t>، وتتوزع في جميع أنحاء الجسم [3]، وهي مهمة لتعويضه عن الخلايا التي تموت بشكل طبيعي بعد إنتهاء عمرها المحدد، ويقل عدد هذه الخلايا مع تقدم الإنسان في العمر.</w:t>
      </w:r>
    </w:p>
    <w:p w:rsidR="00097B51" w:rsidRPr="00097B51" w:rsidRDefault="00097B51" w:rsidP="00097B51">
      <w:pPr>
        <w:jc w:val="mediumKashida"/>
        <w:rPr>
          <w:rFonts w:ascii="Traditional Arabic" w:hAnsi="Traditional Arabic" w:cs="Traditional Arabic"/>
          <w:b/>
          <w:bCs/>
          <w:sz w:val="32"/>
          <w:u w:val="single"/>
          <w:rtl/>
        </w:rPr>
      </w:pPr>
      <w:r w:rsidRPr="00097B51">
        <w:rPr>
          <w:rFonts w:ascii="Traditional Arabic" w:hAnsi="Traditional Arabic" w:cs="Traditional Arabic"/>
          <w:b/>
          <w:bCs/>
          <w:sz w:val="32"/>
          <w:u w:val="single"/>
          <w:rtl/>
        </w:rPr>
        <w:t>مصادر الخلايا الجذعية</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يمكن الحصول على الخلايا الجذعية من لقائح أطفال الأنابيب الفائضة.</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يُمكن الحصول على الخلايا الجذعية من المصادر التالية:</w:t>
      </w:r>
    </w:p>
    <w:p w:rsidR="00097B51" w:rsidRPr="00097B51" w:rsidRDefault="00097B51" w:rsidP="00097B51">
      <w:pPr>
        <w:pStyle w:val="ListParagraph"/>
        <w:numPr>
          <w:ilvl w:val="0"/>
          <w:numId w:val="1"/>
        </w:numPr>
        <w:jc w:val="mediumKashida"/>
        <w:rPr>
          <w:rFonts w:ascii="Traditional Arabic" w:hAnsi="Traditional Arabic" w:cs="Traditional Arabic"/>
          <w:sz w:val="32"/>
          <w:rtl/>
        </w:rPr>
      </w:pPr>
      <w:r w:rsidRPr="00097B51">
        <w:rPr>
          <w:rFonts w:ascii="Traditional Arabic" w:hAnsi="Traditional Arabic" w:cs="Traditional Arabic"/>
          <w:sz w:val="32"/>
          <w:rtl/>
        </w:rPr>
        <w:t>المشيمة والحبل الشوكي والسائل الأمنيوسي.</w:t>
      </w:r>
    </w:p>
    <w:p w:rsidR="00097B51" w:rsidRPr="00097B51" w:rsidRDefault="00097B51" w:rsidP="00097B51">
      <w:pPr>
        <w:pStyle w:val="ListParagraph"/>
        <w:numPr>
          <w:ilvl w:val="0"/>
          <w:numId w:val="1"/>
        </w:numPr>
        <w:jc w:val="mediumKashida"/>
        <w:rPr>
          <w:rFonts w:ascii="Traditional Arabic" w:hAnsi="Traditional Arabic" w:cs="Traditional Arabic"/>
          <w:sz w:val="32"/>
          <w:rtl/>
        </w:rPr>
      </w:pPr>
      <w:r w:rsidRPr="00097B51">
        <w:rPr>
          <w:rFonts w:ascii="Traditional Arabic" w:hAnsi="Traditional Arabic" w:cs="Traditional Arabic"/>
          <w:sz w:val="32"/>
          <w:rtl/>
        </w:rPr>
        <w:t>الأطفال والبالغين.</w:t>
      </w:r>
    </w:p>
    <w:p w:rsidR="00097B51" w:rsidRPr="00097B51" w:rsidRDefault="00097B51" w:rsidP="00097B51">
      <w:pPr>
        <w:pStyle w:val="ListParagraph"/>
        <w:numPr>
          <w:ilvl w:val="0"/>
          <w:numId w:val="1"/>
        </w:numPr>
        <w:jc w:val="mediumKashida"/>
        <w:rPr>
          <w:rFonts w:ascii="Traditional Arabic" w:hAnsi="Traditional Arabic" w:cs="Traditional Arabic"/>
          <w:sz w:val="32"/>
          <w:rtl/>
        </w:rPr>
      </w:pPr>
      <w:r w:rsidRPr="00097B51">
        <w:rPr>
          <w:rFonts w:ascii="Traditional Arabic" w:hAnsi="Traditional Arabic" w:cs="Traditional Arabic"/>
          <w:sz w:val="32"/>
          <w:rtl/>
        </w:rPr>
        <w:t>الأجنة المجهضة.</w:t>
      </w:r>
    </w:p>
    <w:p w:rsidR="00097B51" w:rsidRPr="00097B51" w:rsidRDefault="00097B51" w:rsidP="00097B51">
      <w:pPr>
        <w:pStyle w:val="ListParagraph"/>
        <w:numPr>
          <w:ilvl w:val="0"/>
          <w:numId w:val="1"/>
        </w:numPr>
        <w:jc w:val="mediumKashida"/>
        <w:rPr>
          <w:rFonts w:ascii="Traditional Arabic" w:hAnsi="Traditional Arabic" w:cs="Traditional Arabic"/>
          <w:sz w:val="32"/>
          <w:rtl/>
        </w:rPr>
      </w:pPr>
      <w:r w:rsidRPr="00097B51">
        <w:rPr>
          <w:rFonts w:ascii="Traditional Arabic" w:hAnsi="Traditional Arabic" w:cs="Traditional Arabic"/>
          <w:sz w:val="32"/>
          <w:rtl/>
        </w:rPr>
        <w:t>الفائض من لقائح أطفال الأنابيب.</w:t>
      </w:r>
    </w:p>
    <w:p w:rsidR="00097B51" w:rsidRPr="00097B51" w:rsidRDefault="00097B51" w:rsidP="00097B51">
      <w:pPr>
        <w:pStyle w:val="ListParagraph"/>
        <w:numPr>
          <w:ilvl w:val="0"/>
          <w:numId w:val="1"/>
        </w:numPr>
        <w:jc w:val="mediumKashida"/>
        <w:rPr>
          <w:rFonts w:ascii="Traditional Arabic" w:hAnsi="Traditional Arabic" w:cs="Traditional Arabic"/>
          <w:sz w:val="32"/>
          <w:rtl/>
        </w:rPr>
      </w:pPr>
      <w:r w:rsidRPr="00097B51">
        <w:rPr>
          <w:rFonts w:ascii="Traditional Arabic" w:hAnsi="Traditional Arabic" w:cs="Traditional Arabic"/>
          <w:sz w:val="32"/>
          <w:rtl/>
        </w:rPr>
        <w:t>الاستنساخ العلاجي.</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lastRenderedPageBreak/>
        <w:t xml:space="preserve">يعمل بعض الباحثين على محاولة إعادة الخلايا المتمايزة إلى أصلها (الخلايا الجذعية) فيما يُعرف بالتمايز العكسي (بالإنجليزية: </w:t>
      </w:r>
      <w:r w:rsidRPr="00097B51">
        <w:rPr>
          <w:rFonts w:ascii="Traditional Arabic" w:hAnsi="Traditional Arabic" w:cs="Traditional Arabic"/>
          <w:sz w:val="32"/>
        </w:rPr>
        <w:t>Retrodifferentiation) [3</w:t>
      </w:r>
      <w:r w:rsidRPr="00097B51">
        <w:rPr>
          <w:rFonts w:ascii="Traditional Arabic" w:hAnsi="Traditional Arabic" w:cs="Traditional Arabic"/>
          <w:sz w:val="32"/>
          <w:rtl/>
        </w:rPr>
        <w:t xml:space="preserve">]، ويُعد اكتشاف امكانية إعادة خلايا الدم المتمايزة إلى أصولها وإنتاج خلايا دم جذعية تتشابه في خواصها مع الخلايا الجذعية التي يتم الحصول عليها من الأجنة من أهم الاكتشافات الحدثية في هذا المجال[3]، وتُسمى الخلية التي تُستحث بهذه الطريقة خلية جذعية مستحثة وافرة القدرة (بالإنجليزية: </w:t>
      </w:r>
      <w:r w:rsidRPr="00097B51">
        <w:rPr>
          <w:rFonts w:ascii="Traditional Arabic" w:hAnsi="Traditional Arabic" w:cs="Traditional Arabic"/>
          <w:sz w:val="32"/>
        </w:rPr>
        <w:t>Induced Pluripotent Stem Cell) [2</w:t>
      </w:r>
      <w:r w:rsidRPr="00097B51">
        <w:rPr>
          <w:rFonts w:ascii="Traditional Arabic" w:hAnsi="Traditional Arabic" w:cs="Traditional Arabic"/>
          <w:sz w:val="32"/>
          <w:rtl/>
        </w:rPr>
        <w:t>].</w:t>
      </w:r>
    </w:p>
    <w:p w:rsidR="00097B51" w:rsidRPr="00097B51" w:rsidRDefault="00097B51" w:rsidP="00097B51">
      <w:pPr>
        <w:jc w:val="mediumKashida"/>
        <w:rPr>
          <w:rFonts w:ascii="Traditional Arabic" w:hAnsi="Traditional Arabic" w:cs="Traditional Arabic"/>
          <w:b/>
          <w:bCs/>
          <w:sz w:val="32"/>
          <w:u w:val="single"/>
          <w:rtl/>
        </w:rPr>
      </w:pPr>
      <w:r w:rsidRPr="00097B51">
        <w:rPr>
          <w:rFonts w:ascii="Traditional Arabic" w:hAnsi="Traditional Arabic" w:cs="Traditional Arabic"/>
          <w:b/>
          <w:bCs/>
          <w:sz w:val="32"/>
          <w:u w:val="single"/>
          <w:rtl/>
        </w:rPr>
        <w:t>الخلايا الجذعية في الإسلام</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ناقش مجلس المجمع الفقهي الإسلامي في دورته السابعة عشر موضوع الخلايا الجذعية، وأجاز فيها الحصول على الخلايا الجذعية وتنميتها واستخدامها بهدف العلاج أو لإجراء الأبحاث العلميـة المباحـة، إذا كان مصدرها مباحاً ومن ذلك المصادر الآتية:</w:t>
      </w:r>
    </w:p>
    <w:p w:rsidR="00097B51" w:rsidRPr="00097B51" w:rsidRDefault="00097B51" w:rsidP="00097B51">
      <w:pPr>
        <w:pStyle w:val="ListParagraph"/>
        <w:numPr>
          <w:ilvl w:val="0"/>
          <w:numId w:val="2"/>
        </w:numPr>
        <w:jc w:val="mediumKashida"/>
        <w:rPr>
          <w:rFonts w:ascii="Traditional Arabic" w:hAnsi="Traditional Arabic" w:cs="Traditional Arabic"/>
          <w:sz w:val="32"/>
          <w:rtl/>
        </w:rPr>
      </w:pPr>
      <w:r w:rsidRPr="00097B51">
        <w:rPr>
          <w:rFonts w:ascii="Traditional Arabic" w:hAnsi="Traditional Arabic" w:cs="Traditional Arabic"/>
          <w:sz w:val="32"/>
          <w:rtl/>
        </w:rPr>
        <w:t>البالغون إذا أذنوا، ولم يكن في ذلك ضرر عليهم.</w:t>
      </w:r>
    </w:p>
    <w:p w:rsidR="00097B51" w:rsidRPr="00097B51" w:rsidRDefault="00097B51" w:rsidP="00097B51">
      <w:pPr>
        <w:pStyle w:val="ListParagraph"/>
        <w:numPr>
          <w:ilvl w:val="0"/>
          <w:numId w:val="2"/>
        </w:numPr>
        <w:jc w:val="mediumKashida"/>
        <w:rPr>
          <w:rFonts w:ascii="Traditional Arabic" w:hAnsi="Traditional Arabic" w:cs="Traditional Arabic"/>
          <w:sz w:val="32"/>
          <w:rtl/>
        </w:rPr>
      </w:pPr>
      <w:r w:rsidRPr="00097B51">
        <w:rPr>
          <w:rFonts w:ascii="Traditional Arabic" w:hAnsi="Traditional Arabic" w:cs="Traditional Arabic"/>
          <w:sz w:val="32"/>
          <w:rtl/>
        </w:rPr>
        <w:t>الأطفال إذا أذن أولياؤهم، لمصلحة شرعية، وبدون ضرر عليهم.</w:t>
      </w:r>
    </w:p>
    <w:p w:rsidR="00097B51" w:rsidRPr="00097B51" w:rsidRDefault="00097B51" w:rsidP="00097B51">
      <w:pPr>
        <w:pStyle w:val="ListParagraph"/>
        <w:numPr>
          <w:ilvl w:val="0"/>
          <w:numId w:val="2"/>
        </w:numPr>
        <w:jc w:val="mediumKashida"/>
        <w:rPr>
          <w:rFonts w:ascii="Traditional Arabic" w:hAnsi="Traditional Arabic" w:cs="Traditional Arabic"/>
          <w:sz w:val="32"/>
          <w:rtl/>
        </w:rPr>
      </w:pPr>
      <w:r w:rsidRPr="00097B51">
        <w:rPr>
          <w:rFonts w:ascii="Traditional Arabic" w:hAnsi="Traditional Arabic" w:cs="Traditional Arabic"/>
          <w:sz w:val="32"/>
          <w:rtl/>
        </w:rPr>
        <w:t>المشيمة أو الحبل السري، وبإذن الوالدين.</w:t>
      </w:r>
    </w:p>
    <w:p w:rsidR="00097B51" w:rsidRPr="00097B51" w:rsidRDefault="00097B51" w:rsidP="00097B51">
      <w:pPr>
        <w:pStyle w:val="ListParagraph"/>
        <w:numPr>
          <w:ilvl w:val="0"/>
          <w:numId w:val="2"/>
        </w:numPr>
        <w:jc w:val="mediumKashida"/>
        <w:rPr>
          <w:rFonts w:ascii="Traditional Arabic" w:hAnsi="Traditional Arabic" w:cs="Traditional Arabic"/>
          <w:sz w:val="32"/>
          <w:rtl/>
        </w:rPr>
      </w:pPr>
      <w:r w:rsidRPr="00097B51">
        <w:rPr>
          <w:rFonts w:ascii="Traditional Arabic" w:hAnsi="Traditional Arabic" w:cs="Traditional Arabic"/>
          <w:sz w:val="32"/>
          <w:rtl/>
        </w:rPr>
        <w:t>الجنين المسقط تلقائياً أو لسبب علاجي يجيزه الشرع، وبإذن الوالدين.</w:t>
      </w:r>
    </w:p>
    <w:p w:rsidR="00097B51" w:rsidRPr="00097B51" w:rsidRDefault="00097B51" w:rsidP="00097B51">
      <w:pPr>
        <w:pStyle w:val="ListParagraph"/>
        <w:numPr>
          <w:ilvl w:val="0"/>
          <w:numId w:val="2"/>
        </w:numPr>
        <w:jc w:val="mediumKashida"/>
        <w:rPr>
          <w:rFonts w:ascii="Traditional Arabic" w:hAnsi="Traditional Arabic" w:cs="Traditional Arabic"/>
          <w:sz w:val="32"/>
          <w:rtl/>
        </w:rPr>
      </w:pPr>
      <w:r w:rsidRPr="00097B51">
        <w:rPr>
          <w:rFonts w:ascii="Traditional Arabic" w:hAnsi="Traditional Arabic" w:cs="Traditional Arabic"/>
          <w:sz w:val="32"/>
          <w:rtl/>
        </w:rPr>
        <w:t>اللقائح الفائضة من مشاريع أطفال الأنابيب إذا وجدت وتبرع بها الوالدان.</w:t>
      </w:r>
    </w:p>
    <w:p w:rsidR="00097B51" w:rsidRPr="00097B51" w:rsidRDefault="00097B51" w:rsidP="00097B51">
      <w:pPr>
        <w:jc w:val="mediumKashida"/>
        <w:rPr>
          <w:rFonts w:ascii="Traditional Arabic" w:hAnsi="Traditional Arabic" w:cs="Traditional Arabic"/>
          <w:b/>
          <w:bCs/>
          <w:sz w:val="32"/>
          <w:rtl/>
        </w:rPr>
      </w:pPr>
      <w:r w:rsidRPr="00097B51">
        <w:rPr>
          <w:rFonts w:ascii="Traditional Arabic" w:hAnsi="Traditional Arabic" w:cs="Traditional Arabic"/>
          <w:b/>
          <w:bCs/>
          <w:sz w:val="32"/>
          <w:rtl/>
        </w:rPr>
        <w:t>ولم يُجز المجلس الحصول على الخلايا الجذعية واستخدامها إذا كان مصدرها محرمًا، ومن ذلك :</w:t>
      </w:r>
    </w:p>
    <w:p w:rsidR="00097B51" w:rsidRPr="00097B51" w:rsidRDefault="00097B51" w:rsidP="00097B51">
      <w:pPr>
        <w:pStyle w:val="ListParagraph"/>
        <w:numPr>
          <w:ilvl w:val="0"/>
          <w:numId w:val="3"/>
        </w:numPr>
        <w:jc w:val="mediumKashida"/>
        <w:rPr>
          <w:rFonts w:ascii="Traditional Arabic" w:hAnsi="Traditional Arabic" w:cs="Traditional Arabic"/>
          <w:sz w:val="32"/>
          <w:rtl/>
        </w:rPr>
      </w:pPr>
      <w:r w:rsidRPr="00097B51">
        <w:rPr>
          <w:rFonts w:ascii="Traditional Arabic" w:hAnsi="Traditional Arabic" w:cs="Traditional Arabic"/>
          <w:sz w:val="32"/>
          <w:rtl/>
        </w:rPr>
        <w:t>الجنين المسقط تعمدًا بدون سبب طبي يجيزه الشرع.</w:t>
      </w:r>
    </w:p>
    <w:p w:rsidR="00097B51" w:rsidRPr="00097B51" w:rsidRDefault="00097B51" w:rsidP="00097B51">
      <w:pPr>
        <w:pStyle w:val="ListParagraph"/>
        <w:numPr>
          <w:ilvl w:val="0"/>
          <w:numId w:val="3"/>
        </w:numPr>
        <w:jc w:val="mediumKashida"/>
        <w:rPr>
          <w:rFonts w:ascii="Traditional Arabic" w:hAnsi="Traditional Arabic" w:cs="Traditional Arabic"/>
          <w:sz w:val="32"/>
          <w:rtl/>
        </w:rPr>
      </w:pPr>
      <w:r w:rsidRPr="00097B51">
        <w:rPr>
          <w:rFonts w:ascii="Traditional Arabic" w:hAnsi="Traditional Arabic" w:cs="Traditional Arabic"/>
          <w:sz w:val="32"/>
          <w:rtl/>
        </w:rPr>
        <w:t>التلقيح المتعمد بين بييضة من متبرعة وحيوان منوي من متبرع.</w:t>
      </w:r>
    </w:p>
    <w:p w:rsidR="00097B51" w:rsidRPr="00097B51" w:rsidRDefault="00097B51" w:rsidP="00097B51">
      <w:pPr>
        <w:jc w:val="mediumKashida"/>
        <w:rPr>
          <w:rFonts w:ascii="Traditional Arabic" w:hAnsi="Traditional Arabic" w:cs="Traditional Arabic"/>
          <w:b/>
          <w:bCs/>
          <w:sz w:val="32"/>
          <w:u w:val="single"/>
          <w:rtl/>
        </w:rPr>
      </w:pPr>
      <w:r w:rsidRPr="00097B51">
        <w:rPr>
          <w:rFonts w:ascii="Traditional Arabic" w:hAnsi="Traditional Arabic" w:cs="Traditional Arabic"/>
          <w:b/>
          <w:bCs/>
          <w:sz w:val="32"/>
          <w:u w:val="single"/>
          <w:rtl/>
        </w:rPr>
        <w:t>الاستنساخ العلاجي.</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هناك تفاوت في حكم استخدام الفائض من أطفال الأنابيب، ففيما يؤيد مجلس المجمع الفقهي الإسلامي جواز تنمية اللقائح الفائضة من عمليات أطفال الأنابيب للحصول على الخلايا الجذعية، ترى جمعية العلوم الطبية الإسلامية الأردنية أن ذلك لا يجوز، بل يجب عند إجراء التخصيب أن يقتصر على العدد المطلوب الذي سينقل إلى الرحم</w:t>
      </w:r>
      <w:r>
        <w:rPr>
          <w:rFonts w:ascii="Traditional Arabic" w:hAnsi="Traditional Arabic" w:cs="Traditional Arabic"/>
          <w:sz w:val="32"/>
          <w:rtl/>
        </w:rPr>
        <w:t xml:space="preserve"> </w:t>
      </w:r>
      <w:r w:rsidRPr="00097B51">
        <w:rPr>
          <w:rFonts w:ascii="Traditional Arabic" w:hAnsi="Traditional Arabic" w:cs="Traditional Arabic"/>
          <w:sz w:val="32"/>
          <w:rtl/>
        </w:rPr>
        <w:t xml:space="preserve">، كما منعت اللجنة </w:t>
      </w:r>
      <w:r w:rsidRPr="00097B51">
        <w:rPr>
          <w:rFonts w:ascii="Traditional Arabic" w:hAnsi="Traditional Arabic" w:cs="Traditional Arabic"/>
          <w:sz w:val="32"/>
          <w:rtl/>
        </w:rPr>
        <w:lastRenderedPageBreak/>
        <w:t>الوطنية للأخلاقيات الحيوية والطبية بالمملكة العربية السعودية استخدام البويضات الملقحة لاستخلاص الخلايا الجذعية في البحوث العلمية، رغم أن موقف اللجنة لم يكن بسبب مانع شرعي قطعي وإنما بُني على صعوبة ضبط وتقنين مثل هذه الأبحاث.</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كذلك يعد الاستنساخ العلاجي قضية خلافية</w:t>
      </w:r>
      <w:r>
        <w:rPr>
          <w:rFonts w:ascii="Traditional Arabic" w:hAnsi="Traditional Arabic" w:cs="Traditional Arabic"/>
          <w:sz w:val="32"/>
          <w:rtl/>
        </w:rPr>
        <w:t xml:space="preserve"> </w:t>
      </w:r>
      <w:r w:rsidRPr="00097B51">
        <w:rPr>
          <w:rFonts w:ascii="Traditional Arabic" w:hAnsi="Traditional Arabic" w:cs="Traditional Arabic"/>
          <w:sz w:val="32"/>
          <w:rtl/>
        </w:rPr>
        <w:t>، حيث ترى جمعية العلوم الطبية الإسلامية الأردنية جواز الحصول على الخلايا الجذعية بواسطة الاستنساخ العلاجي، ويقيدون ذلك بضوابط وهي أن لا تُنقل الخلايا الجسدية إلى الرحم لأن ذلك يؤدي إلى الاستنساخ التكاثري وأن لا يتم شراء البويضات البشرية حتى لا تُمتهن المرأة ولا تُستغل حاجتها إلى المال.</w:t>
      </w:r>
    </w:p>
    <w:p w:rsidR="00097B51" w:rsidRPr="00097B51" w:rsidRDefault="00097B51" w:rsidP="00097B51">
      <w:pPr>
        <w:jc w:val="mediumKashida"/>
        <w:rPr>
          <w:rFonts w:ascii="Traditional Arabic" w:hAnsi="Traditional Arabic" w:cs="Traditional Arabic"/>
          <w:b/>
          <w:bCs/>
          <w:sz w:val="32"/>
          <w:u w:val="single"/>
          <w:rtl/>
        </w:rPr>
      </w:pPr>
      <w:r w:rsidRPr="00097B51">
        <w:rPr>
          <w:rFonts w:ascii="Traditional Arabic" w:hAnsi="Traditional Arabic" w:cs="Traditional Arabic"/>
          <w:b/>
          <w:bCs/>
          <w:sz w:val="32"/>
          <w:u w:val="single"/>
          <w:rtl/>
        </w:rPr>
        <w:t>تطبيقات الخلايا الجذعية</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تُعد المعالجة بالخلايا الجذعية طريقة واعدة للعلاج إلا أنها لم تصل بعد إلى حد الاستخدام اليومي إلا في أمراض الدم كسرطان الدم، حيث تُفصل الخلايا الجذعية من الدم أو نخاع العظم ويُحتفظ بها، ومن ثم يتم القضاء على الخلايا السرطانية في الدم باستخدام عقاقير قاتلة، وبعدها يُعاد تكوين الدم باستخدام الخلايا الجذعية المحفوظة.</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وعلى الرغم أن نتائج العديد من التطبيقات العلاجية للخلايا الجذعية مشجعة، إلا أنه مازال كثير منها في طور التجربة ويحتاج إلى عدة سنوات قبل أن ينتقل إلى مرحلة التطبيق، ويرجع السبب في ذلك إلى تسجيل انتكاسات إصابة لبعض حيوانات التجارب على المدى الطويل في بعض من هذه التقنيات العلاجية، ولذلك يحتاج الباحثون للتأكد من هذه الانتكاسات لن تصيب الإنسان، كذلك فإن النتائج المبكرة للدراسات السريرية لا تعكس بالضرورة نتائجها النهائية، فمثلاً أشارت النتائج المبدئية لدراسات سريرية احتمالية فعالية وجدوى زراعة الخلايا الجذعية في علاج الحالات المتقدمة من سرطان الثدي بينما أوضحت نتائجها النهائية التي استغرقت عدة سنوات للوصول إليها أن ذلك غير مجد</w:t>
      </w:r>
      <w:r>
        <w:rPr>
          <w:rFonts w:ascii="Traditional Arabic" w:hAnsi="Traditional Arabic" w:cs="Traditional Arabic"/>
          <w:sz w:val="32"/>
          <w:rtl/>
        </w:rPr>
        <w:t xml:space="preserve"> </w:t>
      </w:r>
      <w:r w:rsidRPr="00097B51">
        <w:rPr>
          <w:rFonts w:ascii="Traditional Arabic" w:hAnsi="Traditional Arabic" w:cs="Traditional Arabic"/>
          <w:sz w:val="32"/>
          <w:rtl/>
        </w:rPr>
        <w:t>.</w:t>
      </w:r>
    </w:p>
    <w:p w:rsidR="00097B51" w:rsidRPr="00097B51" w:rsidRDefault="00097B51" w:rsidP="00097B51">
      <w:pPr>
        <w:jc w:val="mediumKashida"/>
        <w:rPr>
          <w:rFonts w:ascii="Traditional Arabic" w:hAnsi="Traditional Arabic" w:cs="Traditional Arabic"/>
          <w:b/>
          <w:bCs/>
          <w:sz w:val="32"/>
          <w:u w:val="single"/>
          <w:rtl/>
        </w:rPr>
      </w:pPr>
      <w:r w:rsidRPr="00097B51">
        <w:rPr>
          <w:rFonts w:ascii="Traditional Arabic" w:hAnsi="Traditional Arabic" w:cs="Traditional Arabic"/>
          <w:b/>
          <w:bCs/>
          <w:sz w:val="32"/>
          <w:u w:val="single"/>
          <w:rtl/>
        </w:rPr>
        <w:t>فشل نخاع العظم</w:t>
      </w:r>
    </w:p>
    <w:p w:rsid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أثبتت التجارب العلمية فعالية العلاج بالخلايا الجذعية في علاج فشل نخاع العظم، حيث تُزرع في المريض خلايا جذعية من متبرع مطابق له.</w:t>
      </w:r>
    </w:p>
    <w:p w:rsidR="00097B51" w:rsidRPr="00097B51" w:rsidRDefault="00097B51" w:rsidP="00097B51">
      <w:pPr>
        <w:jc w:val="mediumKashida"/>
        <w:rPr>
          <w:rFonts w:ascii="Traditional Arabic" w:hAnsi="Traditional Arabic" w:cs="Traditional Arabic"/>
          <w:sz w:val="32"/>
          <w:rtl/>
        </w:rPr>
      </w:pPr>
    </w:p>
    <w:p w:rsidR="00097B51" w:rsidRPr="00097B51" w:rsidRDefault="00097B51" w:rsidP="00097B51">
      <w:pPr>
        <w:jc w:val="mediumKashida"/>
        <w:rPr>
          <w:rFonts w:ascii="Traditional Arabic" w:hAnsi="Traditional Arabic" w:cs="Traditional Arabic"/>
          <w:b/>
          <w:bCs/>
          <w:sz w:val="32"/>
          <w:u w:val="single"/>
          <w:rtl/>
        </w:rPr>
      </w:pPr>
      <w:r w:rsidRPr="00097B51">
        <w:rPr>
          <w:rFonts w:ascii="Traditional Arabic" w:hAnsi="Traditional Arabic" w:cs="Traditional Arabic"/>
          <w:b/>
          <w:bCs/>
          <w:sz w:val="32"/>
          <w:u w:val="single"/>
          <w:rtl/>
        </w:rPr>
        <w:lastRenderedPageBreak/>
        <w:t>أمراض القلب والشرايين</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يتم علاج هذه الأمراض باستخلاص خلايا جذعية من نخاع عظم جسم المريض، وزراعتها في مزارع خلوية، ثم حقنها في المناطق المصابة في المريض، وفي بعض الدراسات تم رفع معدل ضخ الدم من القلب بنسبة</w:t>
      </w:r>
      <w:r>
        <w:rPr>
          <w:rFonts w:ascii="Traditional Arabic" w:hAnsi="Traditional Arabic" w:cs="Traditional Arabic"/>
          <w:sz w:val="32"/>
          <w:rtl/>
        </w:rPr>
        <w:t xml:space="preserve"> 17%</w:t>
      </w:r>
      <w:r w:rsidRPr="00097B51">
        <w:rPr>
          <w:rFonts w:ascii="Traditional Arabic" w:hAnsi="Traditional Arabic" w:cs="Traditional Arabic"/>
          <w:sz w:val="32"/>
          <w:rtl/>
        </w:rPr>
        <w:t>.</w:t>
      </w:r>
    </w:p>
    <w:p w:rsidR="00097B51" w:rsidRPr="00097B51" w:rsidRDefault="00097B51" w:rsidP="00097B51">
      <w:pPr>
        <w:jc w:val="mediumKashida"/>
        <w:rPr>
          <w:rFonts w:ascii="Traditional Arabic" w:hAnsi="Traditional Arabic" w:cs="Traditional Arabic"/>
          <w:b/>
          <w:bCs/>
          <w:sz w:val="32"/>
          <w:u w:val="single"/>
          <w:rtl/>
        </w:rPr>
      </w:pPr>
      <w:r w:rsidRPr="00097B51">
        <w:rPr>
          <w:rFonts w:ascii="Traditional Arabic" w:hAnsi="Traditional Arabic" w:cs="Traditional Arabic"/>
          <w:b/>
          <w:bCs/>
          <w:sz w:val="32"/>
          <w:u w:val="single"/>
          <w:rtl/>
        </w:rPr>
        <w:t>مرض السكري</w:t>
      </w:r>
    </w:p>
    <w:p w:rsidR="00097B51" w:rsidRPr="00097B51" w:rsidRDefault="00097B51" w:rsidP="00097B51">
      <w:pPr>
        <w:jc w:val="mediumKashida"/>
        <w:rPr>
          <w:rFonts w:ascii="Traditional Arabic" w:hAnsi="Traditional Arabic" w:cs="Traditional Arabic"/>
          <w:sz w:val="32"/>
          <w:rtl/>
        </w:rPr>
      </w:pPr>
      <w:r w:rsidRPr="00097B51">
        <w:rPr>
          <w:rFonts w:ascii="Traditional Arabic" w:hAnsi="Traditional Arabic" w:cs="Traditional Arabic"/>
          <w:sz w:val="32"/>
          <w:rtl/>
        </w:rPr>
        <w:t>أدى حقن خلايا جذعية إلى البنكرياس في دراسة حديثة إلى علاج هذا المرض بشكل كامل[3].</w:t>
      </w:r>
    </w:p>
    <w:p w:rsidR="00097B51" w:rsidRPr="00097B51" w:rsidRDefault="00097B51" w:rsidP="00097B51">
      <w:pPr>
        <w:jc w:val="mediumKashida"/>
        <w:rPr>
          <w:rFonts w:ascii="Traditional Arabic" w:hAnsi="Traditional Arabic" w:cs="Traditional Arabic"/>
          <w:b/>
          <w:bCs/>
          <w:sz w:val="32"/>
          <w:u w:val="single"/>
          <w:rtl/>
        </w:rPr>
      </w:pPr>
      <w:r w:rsidRPr="00097B51">
        <w:rPr>
          <w:rFonts w:ascii="Traditional Arabic" w:hAnsi="Traditional Arabic" w:cs="Traditional Arabic"/>
          <w:b/>
          <w:bCs/>
          <w:sz w:val="32"/>
          <w:u w:val="single"/>
          <w:rtl/>
        </w:rPr>
        <w:t>الحروق</w:t>
      </w:r>
    </w:p>
    <w:p w:rsidR="00A427A8" w:rsidRPr="00097B51" w:rsidRDefault="00097B51" w:rsidP="00097B51">
      <w:pPr>
        <w:jc w:val="mediumKashida"/>
        <w:rPr>
          <w:rFonts w:ascii="Traditional Arabic" w:hAnsi="Traditional Arabic" w:cs="Traditional Arabic"/>
          <w:sz w:val="32"/>
        </w:rPr>
      </w:pPr>
      <w:r w:rsidRPr="00097B51">
        <w:rPr>
          <w:rFonts w:ascii="Traditional Arabic" w:hAnsi="Traditional Arabic" w:cs="Traditional Arabic"/>
          <w:sz w:val="32"/>
          <w:rtl/>
        </w:rPr>
        <w:t>استطاع علماء إنتاج أجزاء من الجلد معملياً باستخدام خلايا جذعية اسُتخرجت من مرضى حروق فقدوا ما يعادل 80% من جلودهم، وزراعتها في مناطق مختلفة من أجسامهم، سرعان ما نمت هذه الخلايا في مدة لم تتجاوز 6 أشهر معوضة عن 95% من الجلد المفقود.</w:t>
      </w:r>
      <w:bookmarkEnd w:id="0"/>
    </w:p>
    <w:sectPr w:rsidR="00A427A8" w:rsidRPr="00097B51" w:rsidSect="000D592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E2D"/>
    <w:multiLevelType w:val="hybridMultilevel"/>
    <w:tmpl w:val="535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52651"/>
    <w:multiLevelType w:val="hybridMultilevel"/>
    <w:tmpl w:val="49C8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B39BA"/>
    <w:multiLevelType w:val="hybridMultilevel"/>
    <w:tmpl w:val="8298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51"/>
    <w:rsid w:val="00097B51"/>
    <w:rsid w:val="000D5920"/>
    <w:rsid w:val="00255420"/>
    <w:rsid w:val="004028C6"/>
    <w:rsid w:val="004F3CD9"/>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5A13"/>
  <w15:chartTrackingRefBased/>
  <w15:docId w15:val="{C9F8A962-34CF-430A-8347-8CEE478F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B51"/>
    <w:pPr>
      <w:ind w:left="720"/>
      <w:contextualSpacing/>
    </w:pPr>
  </w:style>
  <w:style w:type="paragraph" w:styleId="NoSpacing">
    <w:name w:val="No Spacing"/>
    <w:link w:val="NoSpacingChar"/>
    <w:uiPriority w:val="1"/>
    <w:qFormat/>
    <w:rsid w:val="000D5920"/>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0D5920"/>
    <w:rPr>
      <w:rFonts w:eastAsiaTheme="minorEastAsia" w:cstheme="minorBidi"/>
      <w:szCs w:val="22"/>
    </w:rPr>
  </w:style>
  <w:style w:type="paragraph" w:styleId="BalloonText">
    <w:name w:val="Balloon Text"/>
    <w:basedOn w:val="Normal"/>
    <w:link w:val="BalloonTextChar"/>
    <w:uiPriority w:val="99"/>
    <w:semiHidden/>
    <w:unhideWhenUsed/>
    <w:rsid w:val="000D592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D592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88DF6CC3C84899818082B321D40A27"/>
        <w:category>
          <w:name w:val="عام"/>
          <w:gallery w:val="placeholder"/>
        </w:category>
        <w:types>
          <w:type w:val="bbPlcHdr"/>
        </w:types>
        <w:behaviors>
          <w:behavior w:val="content"/>
        </w:behaviors>
        <w:guid w:val="{01D0BDFA-FDD7-471E-B107-99FF4A5EFBA4}"/>
      </w:docPartPr>
      <w:docPartBody>
        <w:p w:rsidR="008346CF" w:rsidRDefault="00B6717A" w:rsidP="00B6717A">
          <w:pPr>
            <w:pStyle w:val="4B88DF6CC3C84899818082B321D40A27"/>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7A"/>
    <w:rsid w:val="008346CF"/>
    <w:rsid w:val="00B10C3C"/>
    <w:rsid w:val="00B6717A"/>
    <w:rsid w:val="00F74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88DF6CC3C84899818082B321D40A27">
    <w:name w:val="4B88DF6CC3C84899818082B321D40A27"/>
    <w:rsid w:val="00B6717A"/>
    <w:pPr>
      <w:bidi/>
    </w:pPr>
  </w:style>
  <w:style w:type="paragraph" w:customStyle="1" w:styleId="8A72C315940A4261A35ACA25E5452C5A">
    <w:name w:val="8A72C315940A4261A35ACA25E5452C5A"/>
    <w:rsid w:val="00B6717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1013</Words>
  <Characters>5778</Characters>
  <Application>Microsoft Office Word</Application>
  <DocSecurity>0</DocSecurity>
  <Lines>48</Lines>
  <Paragraphs>13</Paragraphs>
  <ScaleCrop>false</ScaleCrop>
  <Company>إشراف المعلم/</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الخلايا الجذعية</dc:title>
  <dc:subject/>
  <dc:creator>well</dc:creator>
  <cp:keywords/>
  <dc:description/>
  <cp:lastModifiedBy>SilverLine</cp:lastModifiedBy>
  <cp:revision>4</cp:revision>
  <cp:lastPrinted>2017-11-22T17:32:00Z</cp:lastPrinted>
  <dcterms:created xsi:type="dcterms:W3CDTF">2017-11-22T17:28:00Z</dcterms:created>
  <dcterms:modified xsi:type="dcterms:W3CDTF">2019-01-15T01:14:00Z</dcterms:modified>
</cp:coreProperties>
</file>