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7F2" w:rsidRPr="00CD67F2" w:rsidRDefault="00CD67F2" w:rsidP="00CD67F2">
      <w:pPr>
        <w:spacing w:line="360" w:lineRule="auto"/>
        <w:jc w:val="center"/>
        <w:rPr>
          <w:rFonts w:ascii="Traditional Arabic" w:hAnsi="Traditional Arabic" w:cs="Traditional Arabic"/>
          <w:b/>
          <w:bCs/>
          <w:sz w:val="46"/>
          <w:szCs w:val="46"/>
          <w:rtl/>
        </w:rPr>
      </w:pPr>
      <w:r w:rsidRPr="00CD67F2">
        <w:rPr>
          <w:rFonts w:ascii="Traditional Arabic" w:hAnsi="Traditional Arabic" w:cs="Traditional Arabic" w:hint="cs"/>
          <w:b/>
          <w:bCs/>
          <w:sz w:val="46"/>
          <w:szCs w:val="46"/>
          <w:rtl/>
        </w:rPr>
        <w:t>الانقسام المتساوي</w:t>
      </w:r>
    </w:p>
    <w:p w:rsidR="00CD67F2" w:rsidRPr="00CD67F2" w:rsidRDefault="00CD67F2" w:rsidP="00CD67F2">
      <w:pPr>
        <w:spacing w:line="360" w:lineRule="auto"/>
        <w:jc w:val="mediumKashida"/>
        <w:rPr>
          <w:rFonts w:ascii="Traditional Arabic" w:hAnsi="Traditional Arabic" w:cs="Traditional Arabic"/>
          <w:b/>
          <w:bCs/>
          <w:sz w:val="40"/>
          <w:szCs w:val="40"/>
          <w:rtl/>
        </w:rPr>
      </w:pPr>
      <w:r w:rsidRPr="00CD67F2">
        <w:rPr>
          <w:rFonts w:ascii="Traditional Arabic" w:hAnsi="Traditional Arabic" w:cs="Traditional Arabic"/>
          <w:b/>
          <w:bCs/>
          <w:sz w:val="40"/>
          <w:szCs w:val="40"/>
          <w:rtl/>
        </w:rPr>
        <w:t>الانقسام الخلوي إلى قسمين متساويين.</w:t>
      </w:r>
    </w:p>
    <w:p w:rsidR="00CD67F2" w:rsidRDefault="00CD67F2" w:rsidP="00CD67F2">
      <w:pPr>
        <w:spacing w:line="360" w:lineRule="auto"/>
        <w:jc w:val="mediumKashida"/>
        <w:rPr>
          <w:rFonts w:ascii="Traditional Arabic" w:hAnsi="Traditional Arabic" w:cs="Traditional Arabic"/>
          <w:sz w:val="40"/>
          <w:szCs w:val="40"/>
          <w:rtl/>
        </w:rPr>
      </w:pPr>
      <w:r w:rsidRPr="00CD67F2">
        <w:rPr>
          <w:rFonts w:ascii="Traditional Arabic" w:hAnsi="Traditional Arabic" w:cs="Traditional Arabic"/>
          <w:sz w:val="40"/>
          <w:szCs w:val="40"/>
          <w:rtl/>
        </w:rPr>
        <w:t>الانقسام المتساوي (انقسام النواة) (</w:t>
      </w:r>
      <w:proofErr w:type="spellStart"/>
      <w:r w:rsidRPr="00CD67F2">
        <w:rPr>
          <w:rFonts w:ascii="Traditional Arabic" w:hAnsi="Traditional Arabic" w:cs="Traditional Arabic"/>
          <w:sz w:val="40"/>
          <w:szCs w:val="40"/>
          <w:rtl/>
        </w:rPr>
        <w:t>الميتوسيس</w:t>
      </w:r>
      <w:proofErr w:type="spellEnd"/>
      <w:r w:rsidRPr="00CD67F2">
        <w:rPr>
          <w:rFonts w:ascii="Traditional Arabic" w:hAnsi="Traditional Arabic" w:cs="Traditional Arabic"/>
          <w:sz w:val="40"/>
          <w:szCs w:val="40"/>
          <w:rtl/>
        </w:rPr>
        <w:t xml:space="preserve">) هو العملية الحيوية التي يتم بها انقسام النواة إلى قسمين وتتضاعف المعلومات الوراثية الجينية ضمن الخلية الحية لتشكيل خليتين حيتين متطابقتين ندعوهما الخليتين الابنتين. عادة الانقسام المتساوي يتبع بحرائك خلوية تعمل على قسم </w:t>
      </w:r>
      <w:proofErr w:type="spellStart"/>
      <w:r w:rsidRPr="00CD67F2">
        <w:rPr>
          <w:rFonts w:ascii="Traditional Arabic" w:hAnsi="Traditional Arabic" w:cs="Traditional Arabic"/>
          <w:sz w:val="40"/>
          <w:szCs w:val="40"/>
          <w:rtl/>
        </w:rPr>
        <w:t>الهيولى</w:t>
      </w:r>
      <w:proofErr w:type="spellEnd"/>
      <w:r w:rsidRPr="00CD67F2">
        <w:rPr>
          <w:rFonts w:ascii="Traditional Arabic" w:hAnsi="Traditional Arabic" w:cs="Traditional Arabic"/>
          <w:sz w:val="40"/>
          <w:szCs w:val="40"/>
          <w:rtl/>
        </w:rPr>
        <w:t xml:space="preserve"> (السيتوبلازم) والغشاء الخلوي للخلية الأم بين الخليتين الابنتين. مما يؤدي إلى خليتين ابنتين متطابقتين تماما بتوزيع متطابق تقريبا </w:t>
      </w:r>
      <w:proofErr w:type="spellStart"/>
      <w:r w:rsidRPr="00CD67F2">
        <w:rPr>
          <w:rFonts w:ascii="Traditional Arabic" w:hAnsi="Traditional Arabic" w:cs="Traditional Arabic"/>
          <w:sz w:val="40"/>
          <w:szCs w:val="40"/>
          <w:rtl/>
        </w:rPr>
        <w:t>للعضيات</w:t>
      </w:r>
      <w:proofErr w:type="spellEnd"/>
      <w:r w:rsidRPr="00CD67F2">
        <w:rPr>
          <w:rFonts w:ascii="Traditional Arabic" w:hAnsi="Traditional Arabic" w:cs="Traditional Arabic"/>
          <w:sz w:val="40"/>
          <w:szCs w:val="40"/>
          <w:rtl/>
        </w:rPr>
        <w:t xml:space="preserve"> الخلوية والمكونات الخلوية الأخرى. الانقسام </w:t>
      </w:r>
      <w:proofErr w:type="spellStart"/>
      <w:r w:rsidRPr="00CD67F2">
        <w:rPr>
          <w:rFonts w:ascii="Traditional Arabic" w:hAnsi="Traditional Arabic" w:cs="Traditional Arabic"/>
          <w:sz w:val="40"/>
          <w:szCs w:val="40"/>
          <w:rtl/>
        </w:rPr>
        <w:t>الفتيلي</w:t>
      </w:r>
      <w:proofErr w:type="spellEnd"/>
      <w:r w:rsidRPr="00CD67F2">
        <w:rPr>
          <w:rFonts w:ascii="Traditional Arabic" w:hAnsi="Traditional Arabic" w:cs="Traditional Arabic"/>
          <w:sz w:val="40"/>
          <w:szCs w:val="40"/>
          <w:rtl/>
        </w:rPr>
        <w:t xml:space="preserve"> </w:t>
      </w:r>
      <w:proofErr w:type="spellStart"/>
      <w:r w:rsidRPr="00CD67F2">
        <w:rPr>
          <w:rFonts w:ascii="Traditional Arabic" w:hAnsi="Traditional Arabic" w:cs="Traditional Arabic"/>
          <w:sz w:val="40"/>
          <w:szCs w:val="40"/>
          <w:rtl/>
        </w:rPr>
        <w:t>والحرائك</w:t>
      </w:r>
      <w:proofErr w:type="spellEnd"/>
      <w:r w:rsidRPr="00CD67F2">
        <w:rPr>
          <w:rFonts w:ascii="Traditional Arabic" w:hAnsi="Traditional Arabic" w:cs="Traditional Arabic"/>
          <w:sz w:val="40"/>
          <w:szCs w:val="40"/>
          <w:rtl/>
        </w:rPr>
        <w:t xml:space="preserve"> الخلوية معا تشكلان ما يدعى طور </w:t>
      </w:r>
      <w:proofErr w:type="spellStart"/>
      <w:r w:rsidRPr="00CD67F2">
        <w:rPr>
          <w:rFonts w:ascii="Traditional Arabic" w:hAnsi="Traditional Arabic" w:cs="Traditional Arabic"/>
          <w:sz w:val="40"/>
          <w:szCs w:val="40"/>
          <w:rtl/>
        </w:rPr>
        <w:t>الإنقسام</w:t>
      </w:r>
      <w:proofErr w:type="spellEnd"/>
      <w:r w:rsidRPr="00CD67F2">
        <w:rPr>
          <w:rFonts w:ascii="Traditional Arabic" w:hAnsi="Traditional Arabic" w:cs="Traditional Arabic"/>
          <w:sz w:val="40"/>
          <w:szCs w:val="40"/>
          <w:rtl/>
        </w:rPr>
        <w:t xml:space="preserve"> المتساوي [</w:t>
      </w:r>
      <w:r w:rsidRPr="00CD67F2">
        <w:rPr>
          <w:rFonts w:ascii="Traditional Arabic" w:hAnsi="Traditional Arabic" w:cs="Traditional Arabic"/>
          <w:sz w:val="40"/>
          <w:szCs w:val="40"/>
        </w:rPr>
        <w:t>mitotic (M) phase</w:t>
      </w:r>
      <w:r w:rsidRPr="00CD67F2">
        <w:rPr>
          <w:rFonts w:ascii="Traditional Arabic" w:hAnsi="Traditional Arabic" w:cs="Traditional Arabic"/>
          <w:sz w:val="40"/>
          <w:szCs w:val="40"/>
          <w:rtl/>
        </w:rPr>
        <w:t xml:space="preserve">] من دورة حياة الخلية </w:t>
      </w:r>
      <w:r w:rsidRPr="00CD67F2">
        <w:rPr>
          <w:rFonts w:ascii="Traditional Arabic" w:hAnsi="Traditional Arabic" w:cs="Traditional Arabic"/>
          <w:sz w:val="40"/>
          <w:szCs w:val="40"/>
        </w:rPr>
        <w:t>cell cycle</w:t>
      </w:r>
      <w:r w:rsidRPr="00CD67F2">
        <w:rPr>
          <w:rFonts w:ascii="Traditional Arabic" w:hAnsi="Traditional Arabic" w:cs="Traditional Arabic"/>
          <w:sz w:val="40"/>
          <w:szCs w:val="40"/>
          <w:rtl/>
        </w:rPr>
        <w:t xml:space="preserve">، انقسام الخلية الأم إلى خليتين ابنتين، كل واحدة تملك نسخة جينية مطابقة لنسخة الخلية الأم. يحدث الانقسام </w:t>
      </w:r>
      <w:proofErr w:type="spellStart"/>
      <w:r w:rsidRPr="00CD67F2">
        <w:rPr>
          <w:rFonts w:ascii="Traditional Arabic" w:hAnsi="Traditional Arabic" w:cs="Traditional Arabic"/>
          <w:sz w:val="40"/>
          <w:szCs w:val="40"/>
          <w:rtl/>
        </w:rPr>
        <w:t>الفتيلي</w:t>
      </w:r>
      <w:proofErr w:type="spellEnd"/>
      <w:r w:rsidRPr="00CD67F2">
        <w:rPr>
          <w:rFonts w:ascii="Traditional Arabic" w:hAnsi="Traditional Arabic" w:cs="Traditional Arabic"/>
          <w:sz w:val="40"/>
          <w:szCs w:val="40"/>
          <w:rtl/>
        </w:rPr>
        <w:t xml:space="preserve">(المتساوي) كثيرا في الخلايا حقيقيات النوى. في </w:t>
      </w:r>
      <w:proofErr w:type="spellStart"/>
      <w:r w:rsidRPr="00CD67F2">
        <w:rPr>
          <w:rFonts w:ascii="Traditional Arabic" w:hAnsi="Traditional Arabic" w:cs="Traditional Arabic"/>
          <w:sz w:val="40"/>
          <w:szCs w:val="40"/>
          <w:rtl/>
        </w:rPr>
        <w:t>المتعضيات</w:t>
      </w:r>
      <w:proofErr w:type="spellEnd"/>
      <w:r w:rsidRPr="00CD67F2">
        <w:rPr>
          <w:rFonts w:ascii="Traditional Arabic" w:hAnsi="Traditional Arabic" w:cs="Traditional Arabic"/>
          <w:sz w:val="40"/>
          <w:szCs w:val="40"/>
          <w:rtl/>
        </w:rPr>
        <w:t xml:space="preserve"> متعددة الخلايا، تخضع الخلية الجسدية للانقسام المتساوي، في حين أن الخلايا الجنسية (التي يقدر لها أن تتحول لنطاف </w:t>
      </w:r>
      <w:proofErr w:type="spellStart"/>
      <w:r w:rsidRPr="00CD67F2">
        <w:rPr>
          <w:rFonts w:ascii="Traditional Arabic" w:hAnsi="Traditional Arabic" w:cs="Traditional Arabic"/>
          <w:sz w:val="40"/>
          <w:szCs w:val="40"/>
          <w:rtl/>
        </w:rPr>
        <w:t>وبييضات</w:t>
      </w:r>
      <w:proofErr w:type="spellEnd"/>
      <w:r w:rsidRPr="00CD67F2">
        <w:rPr>
          <w:rFonts w:ascii="Traditional Arabic" w:hAnsi="Traditional Arabic" w:cs="Traditional Arabic"/>
          <w:sz w:val="40"/>
          <w:szCs w:val="40"/>
          <w:rtl/>
        </w:rPr>
        <w:t xml:space="preserve">) تخضع انقسام </w:t>
      </w:r>
      <w:r w:rsidRPr="00CD67F2">
        <w:rPr>
          <w:rFonts w:ascii="Traditional Arabic" w:hAnsi="Traditional Arabic" w:cs="Traditional Arabic"/>
          <w:sz w:val="40"/>
          <w:szCs w:val="40"/>
          <w:rtl/>
        </w:rPr>
        <w:lastRenderedPageBreak/>
        <w:t xml:space="preserve">انتصافي، أما الخلايا طلائعية النوى </w:t>
      </w:r>
      <w:proofErr w:type="spellStart"/>
      <w:r w:rsidRPr="00CD67F2">
        <w:rPr>
          <w:rFonts w:ascii="Traditional Arabic" w:hAnsi="Traditional Arabic" w:cs="Traditional Arabic"/>
          <w:sz w:val="40"/>
          <w:szCs w:val="40"/>
          <w:rtl/>
        </w:rPr>
        <w:t>قتنقسم</w:t>
      </w:r>
      <w:proofErr w:type="spellEnd"/>
      <w:r w:rsidRPr="00CD67F2">
        <w:rPr>
          <w:rFonts w:ascii="Traditional Arabic" w:hAnsi="Traditional Arabic" w:cs="Traditional Arabic"/>
          <w:sz w:val="40"/>
          <w:szCs w:val="40"/>
          <w:rtl/>
        </w:rPr>
        <w:t xml:space="preserve"> بعملية تسمى الانشطار الثنائي.</w:t>
      </w:r>
    </w:p>
    <w:p w:rsidR="00CD67F2" w:rsidRDefault="00CD67F2" w:rsidP="00CD67F2">
      <w:pPr>
        <w:spacing w:line="360" w:lineRule="auto"/>
        <w:jc w:val="mediumKashida"/>
        <w:rPr>
          <w:rFonts w:ascii="Traditional Arabic" w:hAnsi="Traditional Arabic" w:cs="Traditional Arabic"/>
          <w:sz w:val="40"/>
          <w:szCs w:val="40"/>
          <w:rtl/>
        </w:rPr>
      </w:pPr>
    </w:p>
    <w:p w:rsidR="00CD67F2" w:rsidRPr="00CD67F2" w:rsidRDefault="00CD67F2" w:rsidP="00CD67F2">
      <w:pPr>
        <w:spacing w:line="360" w:lineRule="auto"/>
        <w:jc w:val="mediumKashida"/>
        <w:rPr>
          <w:rFonts w:ascii="Traditional Arabic" w:hAnsi="Traditional Arabic" w:cs="Traditional Arabic"/>
          <w:b/>
          <w:bCs/>
          <w:sz w:val="42"/>
          <w:szCs w:val="42"/>
          <w:rtl/>
        </w:rPr>
      </w:pPr>
      <w:r w:rsidRPr="00CD67F2">
        <w:rPr>
          <w:rFonts w:ascii="Traditional Arabic" w:hAnsi="Traditional Arabic" w:cs="Traditional Arabic"/>
          <w:b/>
          <w:bCs/>
          <w:sz w:val="42"/>
          <w:szCs w:val="42"/>
          <w:rtl/>
        </w:rPr>
        <w:t>مراحل الانقسام غير المباشر</w:t>
      </w:r>
    </w:p>
    <w:p w:rsidR="00CD67F2" w:rsidRPr="00CD67F2" w:rsidRDefault="00CD67F2" w:rsidP="00CD67F2">
      <w:pPr>
        <w:spacing w:line="360" w:lineRule="auto"/>
        <w:jc w:val="mediumKashida"/>
        <w:rPr>
          <w:rFonts w:ascii="Traditional Arabic" w:hAnsi="Traditional Arabic" w:cs="Traditional Arabic"/>
          <w:b/>
          <w:bCs/>
          <w:sz w:val="40"/>
          <w:szCs w:val="40"/>
          <w:rtl/>
        </w:rPr>
      </w:pPr>
      <w:r w:rsidRPr="00CD67F2">
        <w:rPr>
          <w:rFonts w:ascii="Traditional Arabic" w:hAnsi="Traditional Arabic" w:cs="Traditional Arabic"/>
          <w:b/>
          <w:bCs/>
          <w:sz w:val="40"/>
          <w:szCs w:val="40"/>
          <w:rtl/>
        </w:rPr>
        <w:t>المرحلة التمهيدية (الطور التمهيدي)</w:t>
      </w:r>
    </w:p>
    <w:p w:rsidR="00CD67F2" w:rsidRPr="00CD67F2" w:rsidRDefault="00CD67F2" w:rsidP="00CD67F2">
      <w:pPr>
        <w:spacing w:line="360" w:lineRule="auto"/>
        <w:jc w:val="mediumKashida"/>
        <w:rPr>
          <w:rFonts w:ascii="Traditional Arabic" w:hAnsi="Traditional Arabic" w:cs="Traditional Arabic"/>
          <w:sz w:val="40"/>
          <w:szCs w:val="40"/>
          <w:rtl/>
        </w:rPr>
      </w:pPr>
      <w:r w:rsidRPr="00CD67F2">
        <w:rPr>
          <w:rFonts w:ascii="Traditional Arabic" w:hAnsi="Traditional Arabic" w:cs="Traditional Arabic"/>
          <w:sz w:val="40"/>
          <w:szCs w:val="40"/>
          <w:rtl/>
        </w:rPr>
        <w:t xml:space="preserve">تظهر الصبغيات (الكروموسومات) نتيجة تلولب والتفاف </w:t>
      </w:r>
      <w:proofErr w:type="spellStart"/>
      <w:r w:rsidRPr="00CD67F2">
        <w:rPr>
          <w:rFonts w:ascii="Traditional Arabic" w:hAnsi="Traditional Arabic" w:cs="Traditional Arabic"/>
          <w:sz w:val="40"/>
          <w:szCs w:val="40"/>
          <w:rtl/>
        </w:rPr>
        <w:t>الخييطات</w:t>
      </w:r>
      <w:proofErr w:type="spellEnd"/>
      <w:r w:rsidRPr="00CD67F2">
        <w:rPr>
          <w:rFonts w:ascii="Traditional Arabic" w:hAnsi="Traditional Arabic" w:cs="Traditional Arabic"/>
          <w:sz w:val="40"/>
          <w:szCs w:val="40"/>
          <w:rtl/>
        </w:rPr>
        <w:t xml:space="preserve"> النووية (</w:t>
      </w:r>
      <w:proofErr w:type="spellStart"/>
      <w:r w:rsidRPr="00CD67F2">
        <w:rPr>
          <w:rFonts w:ascii="Traditional Arabic" w:hAnsi="Traditional Arabic" w:cs="Traditional Arabic"/>
          <w:sz w:val="40"/>
          <w:szCs w:val="40"/>
          <w:rtl/>
        </w:rPr>
        <w:t>الكروماتين</w:t>
      </w:r>
      <w:proofErr w:type="spellEnd"/>
      <w:r w:rsidRPr="00CD67F2">
        <w:rPr>
          <w:rFonts w:ascii="Traditional Arabic" w:hAnsi="Traditional Arabic" w:cs="Traditional Arabic"/>
          <w:sz w:val="40"/>
          <w:szCs w:val="40"/>
          <w:rtl/>
        </w:rPr>
        <w:t xml:space="preserve">) المكونة للمادة الوراثية حيث تبدو في شكل عصيات تسمى الصبغيات. يتكون كل صبغي من وحدتين تسمى كل وحدة </w:t>
      </w:r>
      <w:proofErr w:type="spellStart"/>
      <w:r w:rsidRPr="00CD67F2">
        <w:rPr>
          <w:rFonts w:ascii="Traditional Arabic" w:hAnsi="Traditional Arabic" w:cs="Traditional Arabic"/>
          <w:sz w:val="40"/>
          <w:szCs w:val="40"/>
          <w:rtl/>
        </w:rPr>
        <w:t>كروماتيد</w:t>
      </w:r>
      <w:proofErr w:type="spellEnd"/>
      <w:r w:rsidRPr="00CD67F2">
        <w:rPr>
          <w:rFonts w:ascii="Traditional Arabic" w:hAnsi="Traditional Arabic" w:cs="Traditional Arabic"/>
          <w:sz w:val="40"/>
          <w:szCs w:val="40"/>
          <w:rtl/>
        </w:rPr>
        <w:t xml:space="preserve"> ترتبطان في مستوى الجزيء المركزي. ويتميز هذا الطور باختفاء النوية وتلاشي الغشاء النووي وبظهور مغزل الانقسام </w:t>
      </w:r>
      <w:proofErr w:type="spellStart"/>
      <w:r w:rsidRPr="00CD67F2">
        <w:rPr>
          <w:rFonts w:ascii="Traditional Arabic" w:hAnsi="Traditional Arabic" w:cs="Traditional Arabic"/>
          <w:sz w:val="40"/>
          <w:szCs w:val="40"/>
          <w:rtl/>
        </w:rPr>
        <w:t>ويبدأالطور</w:t>
      </w:r>
      <w:proofErr w:type="spellEnd"/>
      <w:r w:rsidRPr="00CD67F2">
        <w:rPr>
          <w:rFonts w:ascii="Traditional Arabic" w:hAnsi="Traditional Arabic" w:cs="Traditional Arabic"/>
          <w:sz w:val="40"/>
          <w:szCs w:val="40"/>
          <w:rtl/>
        </w:rPr>
        <w:t xml:space="preserve"> البيني.</w:t>
      </w:r>
    </w:p>
    <w:p w:rsidR="00CD67F2" w:rsidRPr="00CD67F2" w:rsidRDefault="00CD67F2" w:rsidP="00CD67F2">
      <w:pPr>
        <w:spacing w:line="360" w:lineRule="auto"/>
        <w:jc w:val="mediumKashida"/>
        <w:rPr>
          <w:rFonts w:ascii="Traditional Arabic" w:hAnsi="Traditional Arabic" w:cs="Traditional Arabic"/>
          <w:b/>
          <w:bCs/>
          <w:sz w:val="40"/>
          <w:szCs w:val="40"/>
          <w:rtl/>
        </w:rPr>
      </w:pPr>
      <w:r w:rsidRPr="00CD67F2">
        <w:rPr>
          <w:rFonts w:ascii="Traditional Arabic" w:hAnsi="Traditional Arabic" w:cs="Traditional Arabic"/>
          <w:b/>
          <w:bCs/>
          <w:sz w:val="40"/>
          <w:szCs w:val="40"/>
          <w:rtl/>
        </w:rPr>
        <w:t>الطور الاستوائي (الطور التالي)</w:t>
      </w:r>
    </w:p>
    <w:p w:rsidR="00CD67F2" w:rsidRPr="00CD67F2" w:rsidRDefault="00CD67F2" w:rsidP="00CD67F2">
      <w:pPr>
        <w:spacing w:line="360" w:lineRule="auto"/>
        <w:jc w:val="mediumKashida"/>
        <w:rPr>
          <w:rFonts w:ascii="Traditional Arabic" w:hAnsi="Traditional Arabic" w:cs="Traditional Arabic"/>
          <w:sz w:val="40"/>
          <w:szCs w:val="40"/>
          <w:rtl/>
        </w:rPr>
      </w:pPr>
      <w:r w:rsidRPr="00CD67F2">
        <w:rPr>
          <w:rFonts w:ascii="Traditional Arabic" w:hAnsi="Traditional Arabic" w:cs="Traditional Arabic"/>
          <w:sz w:val="40"/>
          <w:szCs w:val="40"/>
          <w:rtl/>
        </w:rPr>
        <w:t>يتميز بتموضع واصطفاف الكروموسومات في المستوى الاستوائي للخلية مشكلة الصفيحة الاستوائية(تترتب في خط استواء الخلية) (ملاحظة من الجوانب).</w:t>
      </w:r>
      <w:bookmarkStart w:id="0" w:name="_GoBack"/>
      <w:bookmarkEnd w:id="0"/>
    </w:p>
    <w:p w:rsidR="00CD67F2" w:rsidRPr="00CD67F2" w:rsidRDefault="00CD67F2" w:rsidP="00CD67F2">
      <w:pPr>
        <w:spacing w:line="360" w:lineRule="auto"/>
        <w:jc w:val="mediumKashida"/>
        <w:rPr>
          <w:rFonts w:ascii="Traditional Arabic" w:hAnsi="Traditional Arabic" w:cs="Traditional Arabic"/>
          <w:b/>
          <w:bCs/>
          <w:sz w:val="40"/>
          <w:szCs w:val="40"/>
          <w:rtl/>
        </w:rPr>
      </w:pPr>
      <w:r w:rsidRPr="00CD67F2">
        <w:rPr>
          <w:rFonts w:ascii="Traditional Arabic" w:hAnsi="Traditional Arabic" w:cs="Traditional Arabic"/>
          <w:b/>
          <w:bCs/>
          <w:sz w:val="40"/>
          <w:szCs w:val="40"/>
          <w:rtl/>
        </w:rPr>
        <w:t>الطور الانفصالي (طور الصعود)</w:t>
      </w:r>
    </w:p>
    <w:p w:rsidR="00CD67F2" w:rsidRPr="00CD67F2" w:rsidRDefault="00CD67F2" w:rsidP="00CD67F2">
      <w:pPr>
        <w:spacing w:line="360" w:lineRule="auto"/>
        <w:jc w:val="mediumKashida"/>
        <w:rPr>
          <w:rFonts w:ascii="Traditional Arabic" w:hAnsi="Traditional Arabic" w:cs="Traditional Arabic"/>
          <w:sz w:val="40"/>
          <w:szCs w:val="40"/>
          <w:rtl/>
        </w:rPr>
      </w:pPr>
      <w:r w:rsidRPr="00CD67F2">
        <w:rPr>
          <w:rFonts w:ascii="Traditional Arabic" w:hAnsi="Traditional Arabic" w:cs="Traditional Arabic"/>
          <w:sz w:val="40"/>
          <w:szCs w:val="40"/>
          <w:rtl/>
        </w:rPr>
        <w:t xml:space="preserve">تنقسم الجزيئات المركزية(الكروموسومات)إلى 2 </w:t>
      </w:r>
      <w:proofErr w:type="spellStart"/>
      <w:r w:rsidRPr="00CD67F2">
        <w:rPr>
          <w:rFonts w:ascii="Traditional Arabic" w:hAnsi="Traditional Arabic" w:cs="Traditional Arabic"/>
          <w:sz w:val="40"/>
          <w:szCs w:val="40"/>
          <w:rtl/>
        </w:rPr>
        <w:t>كروماتيد</w:t>
      </w:r>
      <w:proofErr w:type="spellEnd"/>
      <w:r w:rsidRPr="00CD67F2">
        <w:rPr>
          <w:rFonts w:ascii="Traditional Arabic" w:hAnsi="Traditional Arabic" w:cs="Traditional Arabic"/>
          <w:sz w:val="40"/>
          <w:szCs w:val="40"/>
          <w:rtl/>
        </w:rPr>
        <w:t xml:space="preserve"> ويفترقان عن بعضهما البعض. ثم يهاجر كل </w:t>
      </w:r>
      <w:proofErr w:type="spellStart"/>
      <w:r w:rsidRPr="00CD67F2">
        <w:rPr>
          <w:rFonts w:ascii="Traditional Arabic" w:hAnsi="Traditional Arabic" w:cs="Traditional Arabic"/>
          <w:sz w:val="40"/>
          <w:szCs w:val="40"/>
          <w:rtl/>
        </w:rPr>
        <w:t>كروماتيد</w:t>
      </w:r>
      <w:proofErr w:type="spellEnd"/>
      <w:r w:rsidRPr="00CD67F2">
        <w:rPr>
          <w:rFonts w:ascii="Traditional Arabic" w:hAnsi="Traditional Arabic" w:cs="Traditional Arabic"/>
          <w:sz w:val="40"/>
          <w:szCs w:val="40"/>
          <w:rtl/>
        </w:rPr>
        <w:t xml:space="preserve"> إلى أحد قطبي الخلية، وبذلك تتكون مجموعتان متماثلتان من </w:t>
      </w:r>
      <w:proofErr w:type="spellStart"/>
      <w:r w:rsidRPr="00CD67F2">
        <w:rPr>
          <w:rFonts w:ascii="Traditional Arabic" w:hAnsi="Traditional Arabic" w:cs="Traditional Arabic"/>
          <w:sz w:val="40"/>
          <w:szCs w:val="40"/>
          <w:rtl/>
        </w:rPr>
        <w:t>الكروماتيدات</w:t>
      </w:r>
      <w:proofErr w:type="spellEnd"/>
      <w:r w:rsidRPr="00CD67F2">
        <w:rPr>
          <w:rFonts w:ascii="Traditional Arabic" w:hAnsi="Traditional Arabic" w:cs="Traditional Arabic"/>
          <w:sz w:val="40"/>
          <w:szCs w:val="40"/>
          <w:rtl/>
        </w:rPr>
        <w:t xml:space="preserve"> ومماثلتان لصبغية الخلية الأم إذ يكون لكل صبغي من خلية الأم صبغي ابن مماثل في كل مجموعة.</w:t>
      </w:r>
    </w:p>
    <w:p w:rsidR="00CD67F2" w:rsidRPr="00CD67F2" w:rsidRDefault="00CD67F2" w:rsidP="00CD67F2">
      <w:pPr>
        <w:spacing w:line="360" w:lineRule="auto"/>
        <w:jc w:val="mediumKashida"/>
        <w:rPr>
          <w:rFonts w:ascii="Traditional Arabic" w:hAnsi="Traditional Arabic" w:cs="Traditional Arabic"/>
          <w:sz w:val="40"/>
          <w:szCs w:val="40"/>
          <w:rtl/>
        </w:rPr>
      </w:pPr>
    </w:p>
    <w:p w:rsidR="00CD67F2" w:rsidRPr="00CD67F2" w:rsidRDefault="00CD67F2" w:rsidP="00CD67F2">
      <w:pPr>
        <w:spacing w:line="360" w:lineRule="auto"/>
        <w:jc w:val="mediumKashida"/>
        <w:rPr>
          <w:rFonts w:ascii="Traditional Arabic" w:hAnsi="Traditional Arabic" w:cs="Traditional Arabic"/>
          <w:b/>
          <w:bCs/>
          <w:sz w:val="40"/>
          <w:szCs w:val="40"/>
          <w:rtl/>
        </w:rPr>
      </w:pPr>
      <w:r w:rsidRPr="00CD67F2">
        <w:rPr>
          <w:rFonts w:ascii="Traditional Arabic" w:hAnsi="Traditional Arabic" w:cs="Traditional Arabic"/>
          <w:b/>
          <w:bCs/>
          <w:sz w:val="40"/>
          <w:szCs w:val="40"/>
          <w:rtl/>
        </w:rPr>
        <w:t>الطور النهائي</w:t>
      </w:r>
    </w:p>
    <w:p w:rsidR="00CD67F2" w:rsidRPr="00CD67F2" w:rsidRDefault="00CD67F2" w:rsidP="00CD67F2">
      <w:pPr>
        <w:spacing w:line="360" w:lineRule="auto"/>
        <w:jc w:val="mediumKashida"/>
        <w:rPr>
          <w:rFonts w:ascii="Traditional Arabic" w:hAnsi="Traditional Arabic" w:cs="Traditional Arabic"/>
          <w:sz w:val="40"/>
          <w:szCs w:val="40"/>
          <w:rtl/>
        </w:rPr>
      </w:pPr>
      <w:r w:rsidRPr="00CD67F2">
        <w:rPr>
          <w:rFonts w:ascii="Traditional Arabic" w:hAnsi="Traditional Arabic" w:cs="Traditional Arabic"/>
          <w:sz w:val="40"/>
          <w:szCs w:val="40"/>
          <w:rtl/>
        </w:rPr>
        <w:t>تفقد صبغيات كل مجموعة فرديتها مشكلة صبغين لنواة جديدة، ويختفي مغزل الانقسام ويتكون غشاء خلوي (الغشاء الهيكلي)في وسط الخلية الأم حيث يقسمها إلى خليتين بنتين متماثلتين وراثيا ومماثلتين للخلية الأم.</w:t>
      </w:r>
    </w:p>
    <w:p w:rsidR="00CD67F2" w:rsidRPr="00CD67F2" w:rsidRDefault="00CD67F2" w:rsidP="00CD67F2">
      <w:pPr>
        <w:spacing w:line="360" w:lineRule="auto"/>
        <w:jc w:val="mediumKashida"/>
        <w:rPr>
          <w:rFonts w:ascii="Traditional Arabic" w:hAnsi="Traditional Arabic" w:cs="Traditional Arabic"/>
          <w:sz w:val="40"/>
          <w:szCs w:val="40"/>
          <w:rtl/>
        </w:rPr>
      </w:pPr>
    </w:p>
    <w:p w:rsidR="00CD67F2" w:rsidRPr="00CD67F2" w:rsidRDefault="00CD67F2" w:rsidP="00CD67F2">
      <w:pPr>
        <w:spacing w:line="360" w:lineRule="auto"/>
        <w:jc w:val="mediumKashida"/>
        <w:rPr>
          <w:rFonts w:ascii="Traditional Arabic" w:hAnsi="Traditional Arabic" w:cs="Traditional Arabic"/>
          <w:sz w:val="40"/>
          <w:szCs w:val="40"/>
        </w:rPr>
      </w:pPr>
    </w:p>
    <w:sectPr w:rsidR="00CD67F2" w:rsidRPr="00CD67F2" w:rsidSect="00CD67F2">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F2"/>
    <w:rsid w:val="0093208C"/>
    <w:rsid w:val="00CD6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939C"/>
  <w15:chartTrackingRefBased/>
  <w15:docId w15:val="{3B9457E8-7CDF-4F7F-B6B5-8845B67C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2018-10-14T19:39:00Z</dcterms:created>
  <dcterms:modified xsi:type="dcterms:W3CDTF">2018-10-14T19:40:00Z</dcterms:modified>
</cp:coreProperties>
</file>