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717949286"/>
        <w:docPartObj>
          <w:docPartGallery w:val="Cover Pages"/>
          <w:docPartUnique/>
        </w:docPartObj>
      </w:sdtPr>
      <w:sdtEndPr>
        <w:rPr>
          <w:rFonts w:ascii="Traditional Arabic" w:hAnsi="Traditional Arabic" w:cs="Traditional Arabic"/>
          <w:color w:val="auto"/>
          <w:sz w:val="40"/>
          <w:szCs w:val="40"/>
          <w:rtl w:val="0"/>
        </w:rPr>
      </w:sdtEndPr>
      <w:sdtContent>
        <w:p w:rsidR="006D09EC" w:rsidRDefault="006D09E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6"/>
              <w:szCs w:val="106"/>
              <w:rtl/>
            </w:rPr>
            <w:alias w:val="العنوان"/>
            <w:tag w:val=""/>
            <w:id w:val="1735040861"/>
            <w:placeholder>
              <w:docPart w:val="B6AEE502CA67422BBC278654694A11D7"/>
            </w:placeholder>
            <w:dataBinding w:prefixMappings="xmlns:ns0='http://purl.org/dc/elements/1.1/' xmlns:ns1='http://schemas.openxmlformats.org/package/2006/metadata/core-properties' " w:xpath="/ns1:coreProperties[1]/ns0:title[1]" w:storeItemID="{6C3C8BC8-F283-45AE-878A-BAB7291924A1}"/>
            <w:text/>
          </w:sdtPr>
          <w:sdtEndPr/>
          <w:sdtContent>
            <w:p w:rsidR="006D09EC" w:rsidRPr="006D09EC" w:rsidRDefault="006D09EC" w:rsidP="006D09E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4"/>
                  <w:szCs w:val="114"/>
                </w:rPr>
              </w:pPr>
              <w:r w:rsidRPr="006D09EC">
                <w:rPr>
                  <w:rFonts w:asciiTheme="majorHAnsi" w:eastAsiaTheme="majorEastAsia" w:hAnsiTheme="majorHAnsi" w:cs="Times New Roman" w:hint="cs"/>
                  <w:b/>
                  <w:bCs/>
                  <w:caps/>
                  <w:color w:val="5B9BD5" w:themeColor="accent1"/>
                  <w:sz w:val="106"/>
                  <w:szCs w:val="106"/>
                  <w:rtl/>
                </w:rPr>
                <w:t>الأمن</w:t>
              </w:r>
              <w:r w:rsidRPr="006D09EC">
                <w:rPr>
                  <w:rFonts w:asciiTheme="majorHAnsi" w:eastAsiaTheme="majorEastAsia" w:hAnsiTheme="majorHAnsi" w:cs="Times New Roman"/>
                  <w:b/>
                  <w:bCs/>
                  <w:caps/>
                  <w:color w:val="5B9BD5" w:themeColor="accent1"/>
                  <w:sz w:val="106"/>
                  <w:szCs w:val="106"/>
                  <w:rtl/>
                </w:rPr>
                <w:t xml:space="preserve"> </w:t>
              </w:r>
              <w:r w:rsidRPr="006D09EC">
                <w:rPr>
                  <w:rFonts w:asciiTheme="majorHAnsi" w:eastAsiaTheme="majorEastAsia" w:hAnsiTheme="majorHAnsi" w:cs="Times New Roman" w:hint="cs"/>
                  <w:b/>
                  <w:bCs/>
                  <w:caps/>
                  <w:color w:val="5B9BD5" w:themeColor="accent1"/>
                  <w:sz w:val="106"/>
                  <w:szCs w:val="106"/>
                  <w:rtl/>
                </w:rPr>
                <w:t>الفكري</w:t>
              </w:r>
            </w:p>
          </w:sdtContent>
        </w:sdt>
        <w:p w:rsidR="006D09EC" w:rsidRDefault="006D09E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09EC" w:rsidRDefault="006D09EC">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6D09EC" w:rsidRDefault="006D09EC">
                          <w:pPr>
                            <w:pStyle w:val="NoSpacing"/>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D09EC" w:rsidRDefault="006D09EC">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6D09EC" w:rsidRPr="006D09EC" w:rsidRDefault="006D09EC" w:rsidP="006D09EC">
      <w:pPr>
        <w:spacing w:line="360" w:lineRule="auto"/>
        <w:jc w:val="center"/>
        <w:rPr>
          <w:rFonts w:ascii="Traditional Arabic" w:hAnsi="Traditional Arabic" w:cs="Traditional Arabic"/>
          <w:b/>
          <w:bCs/>
          <w:i/>
          <w:iCs/>
          <w:sz w:val="46"/>
          <w:szCs w:val="46"/>
          <w:u w:val="single"/>
          <w:rtl/>
        </w:rPr>
      </w:pPr>
      <w:bookmarkStart w:id="0" w:name="_GoBack"/>
      <w:r w:rsidRPr="006D09EC">
        <w:rPr>
          <w:rFonts w:ascii="Traditional Arabic" w:hAnsi="Traditional Arabic" w:cs="Traditional Arabic" w:hint="cs"/>
          <w:b/>
          <w:bCs/>
          <w:i/>
          <w:iCs/>
          <w:sz w:val="46"/>
          <w:szCs w:val="46"/>
          <w:u w:val="single"/>
          <w:rtl/>
        </w:rPr>
        <w:lastRenderedPageBreak/>
        <w:t>الأمن الفكري</w:t>
      </w:r>
    </w:p>
    <w:p w:rsidR="006D09EC" w:rsidRDefault="006D09EC" w:rsidP="006D09EC">
      <w:pPr>
        <w:spacing w:line="360" w:lineRule="auto"/>
        <w:jc w:val="mediumKashida"/>
        <w:rPr>
          <w:rFonts w:ascii="Traditional Arabic" w:hAnsi="Traditional Arabic" w:cs="Traditional Arabic"/>
          <w:b/>
          <w:bCs/>
          <w:sz w:val="40"/>
          <w:szCs w:val="40"/>
          <w:rtl/>
        </w:rPr>
      </w:pPr>
      <w:r>
        <w:rPr>
          <w:rFonts w:ascii="Traditional Arabic" w:hAnsi="Traditional Arabic" w:cs="Traditional Arabic" w:hint="cs"/>
          <w:b/>
          <w:bCs/>
          <w:sz w:val="40"/>
          <w:szCs w:val="40"/>
          <w:rtl/>
        </w:rPr>
        <w:t>مقدمة</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استقامة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الحياة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الدنيا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وسعادتها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تحصل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الإنسان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آمنًا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نفسه،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مرتاح</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القلب،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هادئ</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النفس؛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يخاف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وقوع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مكروه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يهدد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ينتقص</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دينه،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ينتهك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حرماته،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يستلب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خيراته،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يفرض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يتعارض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دينه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وثقافته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ومذاهب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وأخلاق</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وبناءً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يكون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دائمًا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يقظ</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القلب،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دائم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البحث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والنظر،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سريع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الحركة،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عالي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الهمة،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موظفًا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قدراته،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باذ</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نفسه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وطاقته،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مسخرًا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قلمه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وفكره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سبيل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الحفاظ</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مقاصد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دينه،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وتعزيز</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كيانه،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والحفاظ</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غائلة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الأحداث،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الأعداء</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أهمية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تنبع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ارتباطه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بدين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وأساس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ذكرها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وعلوها،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وسبب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مجدها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وعزها،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غايته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المتمثلة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سلامة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العقيدة،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واستقامة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السلوك،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وإثبات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الولاء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للأمة،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وتصحيح</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الانتماء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لها</w:t>
      </w:r>
      <w:r w:rsidRPr="006D09EC">
        <w:rPr>
          <w:rFonts w:ascii="Traditional Arabic" w:hAnsi="Traditional Arabic" w:cs="Traditional Arabic"/>
          <w:sz w:val="40"/>
          <w:szCs w:val="40"/>
          <w:rtl/>
        </w:rPr>
        <w:t>.</w:t>
      </w:r>
    </w:p>
    <w:p w:rsidR="006D09EC" w:rsidRDefault="006D09EC" w:rsidP="006D09EC">
      <w:pPr>
        <w:spacing w:line="360" w:lineRule="auto"/>
        <w:jc w:val="mediumKashida"/>
        <w:rPr>
          <w:rFonts w:ascii="Traditional Arabic" w:hAnsi="Traditional Arabic" w:cs="Traditional Arabic"/>
          <w:b/>
          <w:bCs/>
          <w:sz w:val="40"/>
          <w:szCs w:val="40"/>
          <w:rtl/>
        </w:rPr>
      </w:pPr>
    </w:p>
    <w:p w:rsidR="006D09EC" w:rsidRPr="006D09EC" w:rsidRDefault="006D09EC" w:rsidP="006D09EC">
      <w:pPr>
        <w:spacing w:line="360" w:lineRule="auto"/>
        <w:jc w:val="mediumKashida"/>
        <w:rPr>
          <w:rFonts w:ascii="Traditional Arabic" w:hAnsi="Traditional Arabic" w:cs="Traditional Arabic"/>
          <w:b/>
          <w:bCs/>
          <w:sz w:val="40"/>
          <w:szCs w:val="40"/>
          <w:rtl/>
        </w:rPr>
      </w:pPr>
      <w:r w:rsidRPr="006D09EC">
        <w:rPr>
          <w:rFonts w:ascii="Traditional Arabic" w:hAnsi="Traditional Arabic" w:cs="Traditional Arabic"/>
          <w:b/>
          <w:bCs/>
          <w:sz w:val="40"/>
          <w:szCs w:val="40"/>
          <w:rtl/>
        </w:rPr>
        <w:lastRenderedPageBreak/>
        <w:t>الأمن</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يحتاجُ الإنسان في أيّ مجتمعٍ إلى الشعور بالأمانِ من أجل أن يمارسَ حياته بشكلٍ طبيعيّ، فلا يمكنُ أن تسيرَ الحياةُ إلا إذا شعر الشخصُ بأنه آمنٌ على نفسِه ولا يخافُ من وقوع أيّ مكروهٍ له ولعائلته، كما يشعر بالأمان على أمواله وعرضه، وهناك عدةُ أنواع للأمن أهمُّها الأمن الفكريّ.</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يُعرّفُ الأمنُ في اللغة على أنّه سكونُ القلب واطمئنانه، وذلك بعدم وجود مكروهٍ أو توقّع حدوثه.</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أمّا اصطلاحاً فهو الحال الذي يكون فيه الشخصُ آمناً على نفسِه ومطمئناً فيها، ومستقرّاً في وطنِه، ومحميّاً وسالماً من أي شيءٍ قد ينتقصُ من دينه أو عقله أو عِرضه أو ماله.</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بينما يُعرّفُ الفكرُ في اللغة على أنّه تردّدُ القلب وتأمله. </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أمّا الفِّكر في الاصطلاح فهو ترتيب أمور الذهن التي يتوصّلُ بها إلى المطلوب، وقد يكون علماً أو ظناً. </w:t>
      </w:r>
    </w:p>
    <w:p w:rsidR="006D09EC" w:rsidRPr="006D09EC" w:rsidRDefault="006D09EC" w:rsidP="006D09EC">
      <w:pPr>
        <w:spacing w:line="360" w:lineRule="auto"/>
        <w:jc w:val="mediumKashida"/>
        <w:rPr>
          <w:rFonts w:ascii="Traditional Arabic" w:hAnsi="Traditional Arabic" w:cs="Traditional Arabic"/>
          <w:b/>
          <w:bCs/>
          <w:sz w:val="40"/>
          <w:szCs w:val="40"/>
          <w:u w:val="single"/>
          <w:rtl/>
        </w:rPr>
      </w:pPr>
      <w:r w:rsidRPr="006D09EC">
        <w:rPr>
          <w:rFonts w:ascii="Traditional Arabic" w:hAnsi="Traditional Arabic" w:cs="Traditional Arabic"/>
          <w:b/>
          <w:bCs/>
          <w:sz w:val="40"/>
          <w:szCs w:val="40"/>
          <w:u w:val="single"/>
          <w:rtl/>
        </w:rPr>
        <w:t xml:space="preserve">مفهوم الأمن الفكري </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lastRenderedPageBreak/>
        <w:t>الأمنُ الفكريّ مصطلحٌ حديث العهد، لذلك اختلفت الآراء حولَ مفهومه، وكانت من ضمنِها: أن يعيشَ الناس في أوطانهم ومجتمعاتهم آمنين على مكوّنات أصالتهم ومنظومتهم الفكريّة وثقافتهم النوعيّة، وهناك مَن اختصّ التعريف بالمسلمين فزاد على التعريف السابق: منظومتهم الفكريّة المستمدّة من الكتابِ والسنة.</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هو سلامة فكر الإنسان وعقله وطريقة فَهمه من الانحراف عن الوسطيّة والاعتدال فيما يخصُّ الجوانبَ الدينيّة والسياسية ونظرته للكون، بحيث لا تقودُه نظرتُه إلى الغلوّ والتنّطع، أو الإلحاد والعلمنة.</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الاطمئنان على طريقة تفكير الشخص والتأكّد من ابتعاده عن الانحراف الذي يهدّدُ الأمنَ القوميّ أو مقوماته الفكريّة، أو العقديّة، أوالثقافيّة، أو الأخلاقيّة، أو الأمنيّة. </w:t>
      </w:r>
    </w:p>
    <w:p w:rsidR="006D09EC" w:rsidRPr="006D09EC" w:rsidRDefault="006D09EC" w:rsidP="006D09EC">
      <w:pPr>
        <w:spacing w:line="360" w:lineRule="auto"/>
        <w:jc w:val="mediumKashida"/>
        <w:rPr>
          <w:rFonts w:ascii="Traditional Arabic" w:hAnsi="Traditional Arabic" w:cs="Traditional Arabic"/>
          <w:b/>
          <w:bCs/>
          <w:sz w:val="40"/>
          <w:szCs w:val="40"/>
          <w:u w:val="single"/>
          <w:rtl/>
        </w:rPr>
      </w:pPr>
      <w:r w:rsidRPr="006D09EC">
        <w:rPr>
          <w:rFonts w:ascii="Traditional Arabic" w:hAnsi="Traditional Arabic" w:cs="Traditional Arabic"/>
          <w:b/>
          <w:bCs/>
          <w:sz w:val="40"/>
          <w:szCs w:val="40"/>
          <w:u w:val="single"/>
          <w:rtl/>
        </w:rPr>
        <w:t>مفهوم الأمن الفكري في الإسلام</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يمكنُ جمع الأفكار الموجودة في التعريفات السابقة والخروج بتعريفٍ شاملٍ في ظلّ الشريعة الإسلامية: بأنّ الأمنَ الفكريّ حالُ الشخص الذي يكون فيه العقل سليماً من الانحراف عن الاستقامة عند تأمّله، وأن تكونَ نظرة </w:t>
      </w:r>
      <w:r w:rsidRPr="006D09EC">
        <w:rPr>
          <w:rFonts w:ascii="Traditional Arabic" w:hAnsi="Traditional Arabic" w:cs="Traditional Arabic"/>
          <w:sz w:val="40"/>
          <w:szCs w:val="40"/>
          <w:rtl/>
        </w:rPr>
        <w:lastRenderedPageBreak/>
        <w:t>التأمل تلك متفقةً مع منهج الشريعة الإسلاميّة وعلى خطى السلف الصالح، بحيث يكون المجتمع آمناً على ثقافتِه المستندة إلى القرآن الكريم والسنة النبويّة الشريفة.</w:t>
      </w:r>
    </w:p>
    <w:p w:rsidR="006D09EC" w:rsidRPr="006D09EC" w:rsidRDefault="006D09EC" w:rsidP="006D09EC">
      <w:pPr>
        <w:spacing w:line="360" w:lineRule="auto"/>
        <w:jc w:val="mediumKashida"/>
        <w:rPr>
          <w:rFonts w:ascii="Traditional Arabic" w:hAnsi="Traditional Arabic" w:cs="Traditional Arabic"/>
          <w:b/>
          <w:bCs/>
          <w:sz w:val="40"/>
          <w:szCs w:val="40"/>
          <w:u w:val="single"/>
          <w:rtl/>
        </w:rPr>
      </w:pPr>
      <w:r w:rsidRPr="006D09EC">
        <w:rPr>
          <w:rFonts w:ascii="Traditional Arabic" w:hAnsi="Traditional Arabic" w:cs="Traditional Arabic"/>
          <w:b/>
          <w:bCs/>
          <w:sz w:val="40"/>
          <w:szCs w:val="40"/>
          <w:u w:val="single"/>
          <w:rtl/>
        </w:rPr>
        <w:t xml:space="preserve"> أهميّة الأمن الفكري </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يعدُّ الأمنُ الفكري هو الركيزة الأساسيّة في المحافظةِ على الأمنِ القوميّ بشكلٍ عامٍ، وبالتالي حماية المجتمع من الانحراف والضلال والضعف وسهولة اختلاله والسيطرة عليه.</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الغزو الفكري الغزو الفكريّ هو عكسُ الأمن الفكريّ، حيث عرّفه ابن باز بأنّه مجموعةُ التدابير والإجراءات التي تقومُ بها بعض الأمم للسيطرة على الأمم الأخرى، وهي تتجهُ إلى سلوكِ الأفراد وأفكارهم، وبالتالي فإنّها تهدّدُ استقرارَ الشعوب.</w:t>
      </w:r>
    </w:p>
    <w:p w:rsid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sz w:val="40"/>
          <w:szCs w:val="40"/>
          <w:rtl/>
        </w:rPr>
        <w:t xml:space="preserve"> لا تعني المحافظةُ على الأمن الفكري أن تغلقَ الأمة النوافذ تجاه الشعوب الأخرى، وإنما استقبال حضارتها وغربلتها بغربال الشريعة من أجل أخذْ ما يناسبُ الدين ويتوافق معه، والتخلص ممّا ينافي الدينَ ويعارضُه، وهذا </w:t>
      </w:r>
      <w:r w:rsidRPr="006D09EC">
        <w:rPr>
          <w:rFonts w:ascii="Traditional Arabic" w:hAnsi="Traditional Arabic" w:cs="Traditional Arabic"/>
          <w:sz w:val="40"/>
          <w:szCs w:val="40"/>
          <w:rtl/>
        </w:rPr>
        <w:lastRenderedPageBreak/>
        <w:t>يتطلّبُ من علماءِ الأمة مراقبة ما يصل إلى جيل الشباب من معلوماتٍ لحمايتهم من الاستغلال والضياع والانحراف.</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b/>
          <w:bCs/>
          <w:sz w:val="40"/>
          <w:szCs w:val="40"/>
          <w:rtl/>
        </w:rPr>
      </w:pPr>
      <w:r w:rsidRPr="006D09EC">
        <w:rPr>
          <w:rFonts w:ascii="Traditional Arabic" w:hAnsi="Traditional Arabic" w:cs="Traditional Arabic" w:hint="cs"/>
          <w:b/>
          <w:bCs/>
          <w:sz w:val="40"/>
          <w:szCs w:val="40"/>
          <w:rtl/>
        </w:rPr>
        <w:t>فوائد</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حجز</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العقل</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عن</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الخوض</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فيما</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لا</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يدرك</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أو</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ما</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لا</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فائدة</w:t>
      </w:r>
      <w:r w:rsidRPr="006D09EC">
        <w:rPr>
          <w:rFonts w:ascii="Traditional Arabic" w:hAnsi="Traditional Arabic" w:cs="Traditional Arabic"/>
          <w:b/>
          <w:bCs/>
          <w:sz w:val="40"/>
          <w:szCs w:val="40"/>
          <w:rtl/>
        </w:rPr>
        <w:t xml:space="preserve"> </w:t>
      </w:r>
      <w:r w:rsidRPr="006D09EC">
        <w:rPr>
          <w:rFonts w:ascii="Traditional Arabic" w:hAnsi="Traditional Arabic" w:cs="Traditional Arabic" w:hint="cs"/>
          <w:b/>
          <w:bCs/>
          <w:sz w:val="40"/>
          <w:szCs w:val="40"/>
          <w:rtl/>
        </w:rPr>
        <w:t>فيه</w:t>
      </w:r>
      <w:r w:rsidRPr="006D09EC">
        <w:rPr>
          <w:rFonts w:ascii="Traditional Arabic" w:hAnsi="Traditional Arabic" w:cs="Traditional Arabic"/>
          <w:b/>
          <w:bCs/>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الاشتغال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ليس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وسعه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إدراكه،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وحفظه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الخوض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مجاله،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وإبعاده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الاشتغال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ليس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فائدة،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فوائد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جمَّة،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وآثارًا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حسنةً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ترجع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صاحب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والمجتمع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الذي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يعيش</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الفوائد</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أولًا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حماية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المكلف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الوقوع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معصية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يعلم</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تعالى</w:t>
      </w:r>
      <w:r w:rsidRPr="006D09EC">
        <w:rPr>
          <w:rFonts w:ascii="Traditional Arabic" w:hAnsi="Traditional Arabic" w:cs="Traditional Arabic"/>
          <w:sz w:val="40"/>
          <w:szCs w:val="40"/>
          <w:rtl/>
        </w:rPr>
        <w:t>: (</w:t>
      </w:r>
      <w:r w:rsidRPr="006D09EC">
        <w:rPr>
          <w:rFonts w:ascii="Traditional Arabic" w:hAnsi="Traditional Arabic" w:cs="Traditional Arabic" w:hint="cs"/>
          <w:sz w:val="40"/>
          <w:szCs w:val="40"/>
          <w:rtl/>
        </w:rPr>
        <w:t>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رَبِّيَ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الْفَوَاحِشَ</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ظَهَرَ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بَطَنَ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وَالْإِثْمَ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وَالْبَغْيَ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تُشْرِكُوا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يُنَزِّلْ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سُلْطَانًا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تَقُولُوا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تَعْلَمُونَ</w:t>
      </w:r>
      <w:r w:rsidRPr="006D09EC">
        <w:rPr>
          <w:rFonts w:ascii="Traditional Arabic" w:hAnsi="Traditional Arabic" w:cs="Traditional Arabic"/>
          <w:sz w:val="40"/>
          <w:szCs w:val="40"/>
          <w:rtl/>
        </w:rPr>
        <w:t>{33})(</w:t>
      </w:r>
      <w:r w:rsidRPr="006D09EC">
        <w:rPr>
          <w:rFonts w:ascii="Traditional Arabic" w:hAnsi="Traditional Arabic" w:cs="Traditional Arabic" w:hint="cs"/>
          <w:sz w:val="40"/>
          <w:szCs w:val="40"/>
          <w:rtl/>
        </w:rPr>
        <w:t>الأعراف</w:t>
      </w:r>
      <w:r w:rsidRPr="006D09EC">
        <w:rPr>
          <w:rFonts w:ascii="Traditional Arabic" w:hAnsi="Traditional Arabic" w:cs="Traditional Arabic"/>
          <w:sz w:val="40"/>
          <w:szCs w:val="40"/>
          <w:rtl/>
        </w:rPr>
        <w:t>:33).</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lastRenderedPageBreak/>
        <w:t>لقد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الآية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جعل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أعظم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إثمًا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ومعصية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الشرك</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ابن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القيم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رحمه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 «</w:t>
      </w:r>
      <w:r w:rsidRPr="006D09EC">
        <w:rPr>
          <w:rFonts w:ascii="Traditional Arabic" w:hAnsi="Traditional Arabic" w:cs="Traditional Arabic" w:hint="cs"/>
          <w:sz w:val="40"/>
          <w:szCs w:val="40"/>
          <w:rtl/>
        </w:rPr>
        <w:t>وَقَدْ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الْفُتْيَا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وَالْقَضَاءِ،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وَجَعَلَهُ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أَعْظَمِ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الْمُحَرَّمَاتِ،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جَعَلَهُ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الْمَرْتَبَةِ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الْعُلْيَا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تَعَالَى</w:t>
      </w:r>
      <w:r w:rsidRPr="006D09EC">
        <w:rPr>
          <w:rFonts w:ascii="Traditional Arabic" w:hAnsi="Traditional Arabic" w:cs="Traditional Arabic"/>
          <w:sz w:val="40"/>
          <w:szCs w:val="40"/>
          <w:rtl/>
        </w:rPr>
        <w:t>: (</w:t>
      </w:r>
      <w:r w:rsidRPr="006D09EC">
        <w:rPr>
          <w:rFonts w:ascii="Traditional Arabic" w:hAnsi="Traditional Arabic" w:cs="Traditional Arabic" w:hint="cs"/>
          <w:sz w:val="40"/>
          <w:szCs w:val="40"/>
          <w:rtl/>
        </w:rPr>
        <w:t>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رَبِّيَ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الْفَوَاحِشَ</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ظَهَرَ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بَطَنَ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وَالْإِثْمَ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وَالْبَغْيَ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تُشْرِكُوا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يُنَزِّلْ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سُلْطَانًا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تَقُولُوا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تَعْلَمُونَ</w:t>
      </w:r>
      <w:r w:rsidRPr="006D09EC">
        <w:rPr>
          <w:rFonts w:ascii="Traditional Arabic" w:hAnsi="Traditional Arabic" w:cs="Traditional Arabic"/>
          <w:sz w:val="40"/>
          <w:szCs w:val="40"/>
          <w:rtl/>
        </w:rPr>
        <w:t xml:space="preserve">{33}) </w:t>
      </w:r>
      <w:r w:rsidRPr="006D09EC">
        <w:rPr>
          <w:rFonts w:ascii="Traditional Arabic" w:hAnsi="Traditional Arabic" w:cs="Traditional Arabic" w:hint="cs"/>
          <w:sz w:val="40"/>
          <w:szCs w:val="40"/>
          <w:rtl/>
        </w:rPr>
        <w:t>فرَتَبََّ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الْمُحَرَّمَاتِ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أَرْبَعَ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مَرَاتِبَ،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وَبَدَأَ</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بِأَسْهَلِهَا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الْفَوَاحِشُ،</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ثَنَّى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أَشَدُّ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تَحْرِيمًا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ثْإلِْمُ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وَالظُّلْمُ،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ثَلَّثَ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أَعْظَمُ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تَحْرِيمًا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ثُمَّ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رَبَّعَ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أَشَدُّ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تَحْرِيمًا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وَهُوَ</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أَسْمَائِهِ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وَصِفَاتِهِ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وَأَفْعَالِهِ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دِينِهِ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وَشَرْعِهِ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تَعَالَى</w:t>
      </w:r>
      <w:r w:rsidRPr="006D09EC">
        <w:rPr>
          <w:rFonts w:ascii="Traditional Arabic" w:hAnsi="Traditional Arabic" w:cs="Traditional Arabic"/>
          <w:sz w:val="40"/>
          <w:szCs w:val="40"/>
          <w:rtl/>
        </w:rPr>
        <w:t>: (</w:t>
      </w:r>
      <w:r w:rsidRPr="006D09EC">
        <w:rPr>
          <w:rFonts w:ascii="Traditional Arabic" w:hAnsi="Traditional Arabic" w:cs="Traditional Arabic" w:hint="cs"/>
          <w:sz w:val="40"/>
          <w:szCs w:val="40"/>
          <w:rtl/>
        </w:rPr>
        <w:t>وَلَا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تَقُولُوا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تَصِفُ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أَلْسِنَتُكُمُ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الْكَذِبَ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حَلَالٌ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حَرَامٌ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لِتَفْتَرُوا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الْكَذِبَ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الَّذِينَ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يَفْتَرُونَ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الْكَذِبَ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يُفْلِحُونَ</w:t>
      </w:r>
      <w:r w:rsidRPr="006D09EC">
        <w:rPr>
          <w:rFonts w:ascii="Traditional Arabic" w:hAnsi="Traditional Arabic" w:cs="Traditional Arabic"/>
          <w:sz w:val="40"/>
          <w:szCs w:val="40"/>
          <w:rtl/>
        </w:rPr>
        <w:t>{116}</w:t>
      </w:r>
      <w:r w:rsidRPr="006D09EC">
        <w:rPr>
          <w:rFonts w:ascii="Traditional Arabic" w:hAnsi="Traditional Arabic" w:cs="Traditional Arabic" w:hint="cs"/>
          <w:sz w:val="40"/>
          <w:szCs w:val="40"/>
          <w:rtl/>
        </w:rPr>
        <w:t>مَتَاعٌ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قَلِيلٌ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وَلَهُمْ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عَذَابٌ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أَلِيمٌ</w:t>
      </w:r>
      <w:r w:rsidRPr="006D09EC">
        <w:rPr>
          <w:rFonts w:ascii="Traditional Arabic" w:hAnsi="Traditional Arabic" w:cs="Traditional Arabic"/>
          <w:sz w:val="40"/>
          <w:szCs w:val="40"/>
          <w:rtl/>
        </w:rPr>
        <w:t xml:space="preserve">{117}) </w:t>
      </w:r>
      <w:r w:rsidRPr="006D09EC">
        <w:rPr>
          <w:rFonts w:ascii="Traditional Arabic" w:hAnsi="Traditional Arabic" w:cs="Traditional Arabic" w:hint="cs"/>
          <w:sz w:val="40"/>
          <w:szCs w:val="40"/>
          <w:rtl/>
        </w:rPr>
        <w:t>فَتَقَدَّمَ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إلَيْهِمْ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بِالْوَعِيدِ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الْكَذِبِ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أَحْكَامِهِ،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وَقَوْلِهِمْ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يُحَرِّمْهُ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حَرَامٌ،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يَحِلَّهُ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حَلَالٌ،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lastRenderedPageBreak/>
        <w:t>وَهَذَا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بَيَانٌ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يَجُوزُ</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لِلْعَبْدِ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حَلَالٌ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وَهَذَا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حَرَامٌ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سُبْحَانَهُ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أَحَلَّهُ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وَحَرَّمَهُ</w:t>
      </w:r>
      <w:r w:rsidRPr="006D09EC">
        <w:rPr>
          <w:rFonts w:ascii="Traditional Arabic" w:hAnsi="Traditional Arabic" w:cs="Traditional Arabic"/>
          <w:sz w:val="40"/>
          <w:szCs w:val="40"/>
          <w:rtl/>
        </w:rPr>
        <w:t xml:space="preserve"> »(41).</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وقال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تعالى</w:t>
      </w:r>
      <w:r w:rsidRPr="006D09EC">
        <w:rPr>
          <w:rFonts w:ascii="Traditional Arabic" w:hAnsi="Traditional Arabic" w:cs="Traditional Arabic"/>
          <w:sz w:val="40"/>
          <w:szCs w:val="40"/>
          <w:rtl/>
        </w:rPr>
        <w:t>: (</w:t>
      </w:r>
      <w:r w:rsidRPr="006D09EC">
        <w:rPr>
          <w:rFonts w:ascii="Traditional Arabic" w:hAnsi="Traditional Arabic" w:cs="Traditional Arabic" w:hint="cs"/>
          <w:sz w:val="40"/>
          <w:szCs w:val="40"/>
          <w:rtl/>
        </w:rPr>
        <w:t>وَلا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تَقْفُ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لَيْسَ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السَّمْعَ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وَالْبَصَرَ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وَالْفُؤَادَ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أُوْلَئِكَ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مَسْئُولًا</w:t>
      </w:r>
      <w:r w:rsidRPr="006D09EC">
        <w:rPr>
          <w:rFonts w:ascii="Traditional Arabic" w:hAnsi="Traditional Arabic" w:cs="Traditional Arabic"/>
          <w:sz w:val="40"/>
          <w:szCs w:val="40"/>
          <w:rtl/>
        </w:rPr>
        <w:t>{36})(</w:t>
      </w:r>
      <w:r w:rsidRPr="006D09EC">
        <w:rPr>
          <w:rFonts w:ascii="Traditional Arabic" w:hAnsi="Traditional Arabic" w:cs="Traditional Arabic" w:hint="cs"/>
          <w:sz w:val="40"/>
          <w:szCs w:val="40"/>
          <w:rtl/>
        </w:rPr>
        <w:t>الإسراء</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قال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الشنقيطي</w:t>
      </w:r>
      <w:r w:rsidRPr="006D09EC">
        <w:rPr>
          <w:rFonts w:ascii="Traditional Arabic" w:hAnsi="Traditional Arabic" w:cs="Traditional Arabic"/>
          <w:sz w:val="40"/>
          <w:szCs w:val="40"/>
          <w:rtl/>
        </w:rPr>
        <w:t xml:space="preserve"> – </w:t>
      </w:r>
      <w:r w:rsidRPr="006D09EC">
        <w:rPr>
          <w:rFonts w:ascii="Traditional Arabic" w:hAnsi="Traditional Arabic" w:cs="Traditional Arabic" w:hint="cs"/>
          <w:sz w:val="40"/>
          <w:szCs w:val="40"/>
          <w:rtl/>
        </w:rPr>
        <w:t>رحمه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 «</w:t>
      </w:r>
      <w:r w:rsidRPr="006D09EC">
        <w:rPr>
          <w:rFonts w:ascii="Traditional Arabic" w:hAnsi="Traditional Arabic" w:cs="Traditional Arabic" w:hint="cs"/>
          <w:sz w:val="40"/>
          <w:szCs w:val="40"/>
          <w:rtl/>
        </w:rPr>
        <w:t>نهى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جلّ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الآية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الكريمة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اتباع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الإنسان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ليس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ويشمل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قوله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رأيت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وسمعت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يسمع،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وعلمت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ويدخل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يعمل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الإنسان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يعلم</w:t>
      </w:r>
      <w:r w:rsidRPr="006D09EC">
        <w:rPr>
          <w:rFonts w:ascii="Traditional Arabic" w:hAnsi="Traditional Arabic" w:cs="Traditional Arabic"/>
          <w:sz w:val="40"/>
          <w:szCs w:val="40"/>
          <w:rtl/>
        </w:rPr>
        <w:t xml:space="preserve"> »(42).</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ثانياَ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حماية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المكلف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الحيرة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والشك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والاضطراب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إطلاق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سراح</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ليخوض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شيء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يُفضي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والحيرة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والاضطراب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وعند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يستغرب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يُنْتِج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لنا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فكرًا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مضطربًا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ومشوشًا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فيَضِل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ويُضل</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lastRenderedPageBreak/>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يأتي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تحيله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ولكنه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يأتي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العقول</w:t>
      </w:r>
      <w:r w:rsidRPr="006D09EC">
        <w:rPr>
          <w:rFonts w:ascii="Traditional Arabic" w:hAnsi="Traditional Arabic" w:cs="Traditional Arabic" w:hint="eastAsia"/>
          <w:sz w:val="40"/>
          <w:szCs w:val="40"/>
          <w:rtl/>
        </w:rPr>
        <w:t>»</w:t>
      </w:r>
      <w:r w:rsidRPr="006D09EC">
        <w:rPr>
          <w:rFonts w:ascii="Traditional Arabic" w:hAnsi="Traditional Arabic" w:cs="Traditional Arabic"/>
          <w:sz w:val="40"/>
          <w:szCs w:val="40"/>
          <w:rtl/>
        </w:rPr>
        <w:t>(43)</w:t>
      </w:r>
      <w:r w:rsidRPr="006D09EC">
        <w:rPr>
          <w:rFonts w:ascii="Traditional Arabic" w:hAnsi="Traditional Arabic" w:cs="Traditional Arabic" w:hint="cs"/>
          <w:sz w:val="40"/>
          <w:szCs w:val="40"/>
          <w:rtl/>
        </w:rPr>
        <w:t>،</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ولذلك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الخوض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تحار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العقول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يُفضي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بالإنسان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يجب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يجزم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بالاعتقاد</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ومن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البحث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أمور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مغيبة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ورد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بالإيمان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ترك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كيفيتها؛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ومنها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يكون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شاهد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عالم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كالسؤال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وقت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الساعة،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الروح،</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مدة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هذه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أمثال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يعرف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بالنقل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الصرف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والكثير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يثبت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شيء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فيجب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الإيمان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بحث،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w:t>
      </w:r>
      <w:r w:rsidRPr="006D09EC">
        <w:rPr>
          <w:rFonts w:ascii="Traditional Arabic" w:hAnsi="Traditional Arabic" w:cs="Traditional Arabic" w:hint="eastAsia"/>
          <w:sz w:val="40"/>
          <w:szCs w:val="40"/>
          <w:rtl/>
        </w:rPr>
        <w:t>…</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يوقع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كثرة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البحث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والحيرة</w:t>
      </w:r>
      <w:r w:rsidRPr="006D09EC">
        <w:rPr>
          <w:rFonts w:ascii="Traditional Arabic" w:hAnsi="Traditional Arabic" w:cs="Traditional Arabic" w:hint="eastAsia"/>
          <w:sz w:val="40"/>
          <w:szCs w:val="40"/>
          <w:rtl/>
        </w:rPr>
        <w:t>»</w:t>
      </w:r>
      <w:r w:rsidRPr="006D09EC">
        <w:rPr>
          <w:rFonts w:ascii="Traditional Arabic" w:hAnsi="Traditional Arabic" w:cs="Traditional Arabic"/>
          <w:sz w:val="40"/>
          <w:szCs w:val="40"/>
          <w:rtl/>
        </w:rPr>
        <w:t xml:space="preserve"> (44).</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ثالثًا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حماية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المكلف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اعتناق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المذاهب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المنحرفة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المضلة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لقد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كانت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نتيجة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إدخال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مجال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مجاله،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والنظر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مصادر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معرفية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تستند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المرجعية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الإسلامية،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كانت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نتيجة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اعتناق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مذاهب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منحرفة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بعيدة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هدي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الوحي،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ووسطية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الإسلام</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lastRenderedPageBreak/>
        <w:t>فالتكفير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والإرجاء،</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والتشيّع،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والاعتزال،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والتأويل،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والإعراض</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والعقلانية،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والديمقراطية،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والعلمانية،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والليبرالية،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كان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عندما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استقى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معارفه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مصادر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غير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مأمونة،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وحينما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يُلتزم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بالحدود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للعقل،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وجُعل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مصدرًا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تتلقى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العقائد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الغيب،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وحكمًا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شرع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(45).</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رابعًا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حماية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المجتمع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المضلَّة،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وثمرات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المنحرف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لكي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يكون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مستقيمًا،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فلابد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يلتزم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المُنْتِج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بمنهج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الإسلام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وحدوده</w:t>
      </w:r>
      <w:r w:rsidRPr="006D09EC">
        <w:rPr>
          <w:rFonts w:ascii="Traditional Arabic" w:hAnsi="Traditional Arabic" w:cs="Traditional Arabic"/>
          <w:sz w:val="40"/>
          <w:szCs w:val="40"/>
          <w:rtl/>
        </w:rPr>
        <w:t xml:space="preserve">(46) </w:t>
      </w:r>
      <w:r w:rsidRPr="006D09EC">
        <w:rPr>
          <w:rFonts w:ascii="Traditional Arabic" w:hAnsi="Traditional Arabic" w:cs="Traditional Arabic" w:hint="cs"/>
          <w:sz w:val="40"/>
          <w:szCs w:val="40"/>
          <w:rtl/>
        </w:rPr>
        <w:t>حينما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يتأمل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وينظر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المحسوسات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والمعقولات،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وحينما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يستخرج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النظر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العلوم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والمعارف</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فإذا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يلتزم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بذلك،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فلعلَّه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ينتج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فكرًا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منحرفًا،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يوقع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والريبة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قلوب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الناس،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ويحملهم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البعد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الصراط</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المستقيم،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والمنهج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الحق،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والخلق</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القويم</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lastRenderedPageBreak/>
        <w:t>خامسًا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العمل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استنباط</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مناهج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التفكير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المستقيم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الإيمان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بوجوب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صيانة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العقل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حال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نظره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وتأمله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تبعث</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نفوس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أهل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العلم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والاستنباط</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الهمَّة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لوضع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القواعد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السليمة،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والمناهج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المستقيمة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للتفكير،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مستقاة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الكتاب</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والسنَّة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ومصادر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الشريعة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الإسلامية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الأخرى،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ونشر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القواعد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وتضمينها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مناهج</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التربية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التعليم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بلاد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المسلمين</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إن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القواعد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تساعد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بإذن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الله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حماية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المجتمع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المسلم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الانحراف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إذ</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ضوئها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نضمن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يكون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فعل</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النفس</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الإنسانية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وحركتها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حين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تأملها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ونظرها،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ومنتجات</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الفكر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البشري</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وموضوعاته،</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منضبطة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بالضوابط</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الشرعية،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ملتزمًا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بالحدود</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الآمنة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للفكر</w:t>
      </w:r>
      <w:r w:rsidRPr="006D09EC">
        <w:rPr>
          <w:rFonts w:ascii="Traditional Arabic" w:hAnsi="Traditional Arabic" w:cs="Traditional Arabic"/>
          <w:sz w:val="40"/>
          <w:szCs w:val="40"/>
          <w:rtl/>
        </w:rPr>
        <w:t>.</w:t>
      </w:r>
    </w:p>
    <w:p w:rsidR="006D09EC" w:rsidRPr="006D09EC" w:rsidRDefault="006D09EC" w:rsidP="006D09EC">
      <w:pPr>
        <w:spacing w:line="360" w:lineRule="auto"/>
        <w:jc w:val="mediumKashida"/>
        <w:rPr>
          <w:rFonts w:ascii="Traditional Arabic" w:hAnsi="Traditional Arabic" w:cs="Traditional Arabic"/>
          <w:sz w:val="40"/>
          <w:szCs w:val="40"/>
          <w:rtl/>
        </w:rPr>
      </w:pPr>
      <w:r w:rsidRPr="006D09EC">
        <w:rPr>
          <w:rFonts w:ascii="Traditional Arabic" w:hAnsi="Traditional Arabic" w:cs="Traditional Arabic" w:hint="cs"/>
          <w:sz w:val="40"/>
          <w:szCs w:val="40"/>
          <w:rtl/>
        </w:rPr>
        <w:t>وعلى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ضوئها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أيضًا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نستطيع</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أن</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نحكم</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على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استقامة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وانحرافها،</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ونعرف</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مدى</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فائدة</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تلك</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الأفكار</w:t>
      </w:r>
      <w:r w:rsidRPr="006D09EC">
        <w:rPr>
          <w:rFonts w:ascii="Traditional Arabic" w:hAnsi="Traditional Arabic" w:cs="Traditional Arabic"/>
          <w:sz w:val="40"/>
          <w:szCs w:val="40"/>
          <w:rtl/>
        </w:rPr>
        <w:t xml:space="preserve"> </w:t>
      </w:r>
      <w:r w:rsidRPr="006D09EC">
        <w:rPr>
          <w:rFonts w:ascii="Traditional Arabic" w:hAnsi="Traditional Arabic" w:cs="Traditional Arabic" w:hint="cs"/>
          <w:sz w:val="40"/>
          <w:szCs w:val="40"/>
          <w:rtl/>
        </w:rPr>
        <w:t>وضررها</w:t>
      </w:r>
      <w:r w:rsidRPr="006D09EC">
        <w:rPr>
          <w:rFonts w:ascii="Traditional Arabic" w:hAnsi="Traditional Arabic" w:cs="Traditional Arabic"/>
          <w:sz w:val="40"/>
          <w:szCs w:val="40"/>
          <w:rtl/>
        </w:rPr>
        <w:t>.</w:t>
      </w:r>
    </w:p>
    <w:bookmarkEnd w:id="0"/>
    <w:p w:rsidR="000816F0" w:rsidRPr="006D09EC" w:rsidRDefault="000816F0" w:rsidP="006D09EC">
      <w:pPr>
        <w:spacing w:line="360" w:lineRule="auto"/>
        <w:jc w:val="mediumKashida"/>
        <w:rPr>
          <w:rFonts w:ascii="Traditional Arabic" w:hAnsi="Traditional Arabic" w:cs="Traditional Arabic"/>
          <w:sz w:val="40"/>
          <w:szCs w:val="40"/>
        </w:rPr>
      </w:pPr>
    </w:p>
    <w:sectPr w:rsidR="000816F0" w:rsidRPr="006D09EC" w:rsidSect="006D09EC">
      <w:footerReference w:type="default"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94" w:rsidRDefault="00B23294" w:rsidP="006D09EC">
      <w:pPr>
        <w:spacing w:after="0" w:line="240" w:lineRule="auto"/>
      </w:pPr>
      <w:r>
        <w:separator/>
      </w:r>
    </w:p>
  </w:endnote>
  <w:endnote w:type="continuationSeparator" w:id="0">
    <w:p w:rsidR="00B23294" w:rsidRDefault="00B23294" w:rsidP="006D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11897724"/>
      <w:docPartObj>
        <w:docPartGallery w:val="Page Numbers (Bottom of Page)"/>
        <w:docPartUnique/>
      </w:docPartObj>
    </w:sdtPr>
    <w:sdtEndPr/>
    <w:sdtContent>
      <w:p w:rsidR="006D09EC" w:rsidRDefault="006D09EC">
        <w:pPr>
          <w:pStyle w:val="Footer"/>
          <w:jc w:val="center"/>
        </w:pPr>
        <w:r>
          <w:fldChar w:fldCharType="begin"/>
        </w:r>
        <w:r>
          <w:instrText>PAGE   \* MERGEFORMAT</w:instrText>
        </w:r>
        <w:r>
          <w:fldChar w:fldCharType="separate"/>
        </w:r>
        <w:r w:rsidR="001172E8" w:rsidRPr="001172E8">
          <w:rPr>
            <w:noProof/>
            <w:rtl/>
            <w:lang w:val="ar-SA"/>
          </w:rPr>
          <w:t>10</w:t>
        </w:r>
        <w:r>
          <w:fldChar w:fldCharType="end"/>
        </w:r>
      </w:p>
    </w:sdtContent>
  </w:sdt>
  <w:p w:rsidR="006D09EC" w:rsidRDefault="006D0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94" w:rsidRDefault="00B23294" w:rsidP="006D09EC">
      <w:pPr>
        <w:spacing w:after="0" w:line="240" w:lineRule="auto"/>
      </w:pPr>
      <w:r>
        <w:separator/>
      </w:r>
    </w:p>
  </w:footnote>
  <w:footnote w:type="continuationSeparator" w:id="0">
    <w:p w:rsidR="00B23294" w:rsidRDefault="00B23294" w:rsidP="006D0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EC"/>
    <w:rsid w:val="000816F0"/>
    <w:rsid w:val="001172E8"/>
    <w:rsid w:val="006D09EC"/>
    <w:rsid w:val="009D3714"/>
    <w:rsid w:val="00B23294"/>
    <w:rsid w:val="00CD492F"/>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1466"/>
  <w15:chartTrackingRefBased/>
  <w15:docId w15:val="{E77C43D6-5CB9-4B5D-AA29-26A402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9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09EC"/>
  </w:style>
  <w:style w:type="paragraph" w:styleId="Footer">
    <w:name w:val="footer"/>
    <w:basedOn w:val="Normal"/>
    <w:link w:val="FooterChar"/>
    <w:uiPriority w:val="99"/>
    <w:unhideWhenUsed/>
    <w:rsid w:val="006D09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09EC"/>
  </w:style>
  <w:style w:type="paragraph" w:styleId="NoSpacing">
    <w:name w:val="No Spacing"/>
    <w:link w:val="NoSpacingChar"/>
    <w:uiPriority w:val="1"/>
    <w:qFormat/>
    <w:rsid w:val="006D09EC"/>
    <w:pPr>
      <w:bidi/>
      <w:spacing w:after="0" w:line="240" w:lineRule="auto"/>
    </w:pPr>
    <w:rPr>
      <w:rFonts w:eastAsiaTheme="minorEastAsia"/>
    </w:rPr>
  </w:style>
  <w:style w:type="character" w:customStyle="1" w:styleId="NoSpacingChar">
    <w:name w:val="No Spacing Char"/>
    <w:basedOn w:val="DefaultParagraphFont"/>
    <w:link w:val="NoSpacing"/>
    <w:uiPriority w:val="1"/>
    <w:rsid w:val="006D09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AEE502CA67422BBC278654694A11D7"/>
        <w:category>
          <w:name w:val="عام"/>
          <w:gallery w:val="placeholder"/>
        </w:category>
        <w:types>
          <w:type w:val="bbPlcHdr"/>
        </w:types>
        <w:behaviors>
          <w:behavior w:val="content"/>
        </w:behaviors>
        <w:guid w:val="{DC4222EB-5176-49E1-A4F3-470CB2E1343B}"/>
      </w:docPartPr>
      <w:docPartBody>
        <w:p w:rsidR="005C22D7" w:rsidRDefault="00524F2F" w:rsidP="00524F2F">
          <w:pPr>
            <w:pStyle w:val="B6AEE502CA67422BBC278654694A11D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2F"/>
    <w:rsid w:val="001F666C"/>
    <w:rsid w:val="00524F2F"/>
    <w:rsid w:val="005C22D7"/>
    <w:rsid w:val="00DA7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EE502CA67422BBC278654694A11D7">
    <w:name w:val="B6AEE502CA67422BBC278654694A11D7"/>
    <w:rsid w:val="00524F2F"/>
    <w:pPr>
      <w:bidi/>
    </w:pPr>
  </w:style>
  <w:style w:type="paragraph" w:customStyle="1" w:styleId="632ED902C7D1408BAE1FCBA33A2DDB01">
    <w:name w:val="632ED902C7D1408BAE1FCBA33A2DDB01"/>
    <w:rsid w:val="00524F2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ريان المطيري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1217</Words>
  <Characters>6939</Characters>
  <Application>Microsoft Office Word</Application>
  <DocSecurity>0</DocSecurity>
  <Lines>57</Lines>
  <Paragraphs>16</Paragraphs>
  <ScaleCrop>false</ScaleCrop>
  <Company>إشراف المعلم: محمد عبدالرحمن</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الأمن الفكري</dc:title>
  <dc:subject/>
  <dc:creator>well</dc:creator>
  <cp:keywords/>
  <dc:description/>
  <cp:lastModifiedBy>SilverLine</cp:lastModifiedBy>
  <cp:revision>2</cp:revision>
  <dcterms:created xsi:type="dcterms:W3CDTF">2018-03-12T19:46:00Z</dcterms:created>
  <dcterms:modified xsi:type="dcterms:W3CDTF">2019-01-14T00:28:00Z</dcterms:modified>
</cp:coreProperties>
</file>