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772" w:rsidRPr="00133772" w:rsidRDefault="00133772" w:rsidP="00133772">
      <w:pPr>
        <w:spacing w:line="360" w:lineRule="auto"/>
        <w:jc w:val="center"/>
        <w:rPr>
          <w:rFonts w:ascii="Traditional Arabic" w:hAnsi="Traditional Arabic" w:cs="Traditional Arabic"/>
          <w:b/>
          <w:bCs/>
          <w:sz w:val="42"/>
          <w:szCs w:val="42"/>
          <w:u w:val="single"/>
          <w:rtl/>
        </w:rPr>
      </w:pPr>
      <w:bookmarkStart w:id="0" w:name="_GoBack"/>
      <w:r w:rsidRPr="00133772">
        <w:rPr>
          <w:rFonts w:ascii="Traditional Arabic" w:hAnsi="Traditional Arabic" w:cs="Traditional Arabic" w:hint="cs"/>
          <w:b/>
          <w:bCs/>
          <w:sz w:val="42"/>
          <w:szCs w:val="42"/>
          <w:u w:val="single"/>
          <w:rtl/>
        </w:rPr>
        <w:t>أثر</w:t>
      </w:r>
      <w:r w:rsidRPr="00133772">
        <w:rPr>
          <w:rFonts w:ascii="Traditional Arabic" w:hAnsi="Traditional Arabic" w:cs="Traditional Arabic"/>
          <w:b/>
          <w:bCs/>
          <w:sz w:val="42"/>
          <w:szCs w:val="42"/>
          <w:u w:val="single"/>
          <w:rtl/>
        </w:rPr>
        <w:t xml:space="preserve"> </w:t>
      </w:r>
      <w:r w:rsidRPr="00133772">
        <w:rPr>
          <w:rFonts w:ascii="Traditional Arabic" w:hAnsi="Traditional Arabic" w:cs="Traditional Arabic" w:hint="cs"/>
          <w:b/>
          <w:bCs/>
          <w:sz w:val="42"/>
          <w:szCs w:val="42"/>
          <w:u w:val="single"/>
          <w:rtl/>
        </w:rPr>
        <w:t>الغذاء</w:t>
      </w:r>
      <w:r w:rsidRPr="00133772">
        <w:rPr>
          <w:rFonts w:ascii="Traditional Arabic" w:hAnsi="Traditional Arabic" w:cs="Traditional Arabic"/>
          <w:b/>
          <w:bCs/>
          <w:sz w:val="42"/>
          <w:szCs w:val="42"/>
          <w:u w:val="single"/>
          <w:rtl/>
        </w:rPr>
        <w:t xml:space="preserve"> </w:t>
      </w:r>
      <w:r w:rsidRPr="00133772">
        <w:rPr>
          <w:rFonts w:ascii="Traditional Arabic" w:hAnsi="Traditional Arabic" w:cs="Traditional Arabic" w:hint="cs"/>
          <w:b/>
          <w:bCs/>
          <w:sz w:val="42"/>
          <w:szCs w:val="42"/>
          <w:u w:val="single"/>
          <w:rtl/>
        </w:rPr>
        <w:t>على</w:t>
      </w:r>
      <w:r w:rsidRPr="00133772">
        <w:rPr>
          <w:rFonts w:ascii="Traditional Arabic" w:hAnsi="Traditional Arabic" w:cs="Traditional Arabic"/>
          <w:b/>
          <w:bCs/>
          <w:sz w:val="42"/>
          <w:szCs w:val="42"/>
          <w:u w:val="single"/>
          <w:rtl/>
        </w:rPr>
        <w:t xml:space="preserve"> </w:t>
      </w:r>
      <w:r w:rsidRPr="00133772">
        <w:rPr>
          <w:rFonts w:ascii="Traditional Arabic" w:hAnsi="Traditional Arabic" w:cs="Traditional Arabic" w:hint="cs"/>
          <w:b/>
          <w:bCs/>
          <w:sz w:val="42"/>
          <w:szCs w:val="42"/>
          <w:u w:val="single"/>
          <w:rtl/>
        </w:rPr>
        <w:t>السلوك</w:t>
      </w:r>
      <w:r w:rsidRPr="00133772">
        <w:rPr>
          <w:rFonts w:ascii="Traditional Arabic" w:hAnsi="Traditional Arabic" w:cs="Traditional Arabic"/>
          <w:b/>
          <w:bCs/>
          <w:sz w:val="42"/>
          <w:szCs w:val="42"/>
          <w:u w:val="single"/>
          <w:rtl/>
        </w:rPr>
        <w:t xml:space="preserve"> </w:t>
      </w:r>
      <w:r w:rsidRPr="00133772">
        <w:rPr>
          <w:rFonts w:ascii="Traditional Arabic" w:hAnsi="Traditional Arabic" w:cs="Traditional Arabic" w:hint="cs"/>
          <w:b/>
          <w:bCs/>
          <w:sz w:val="42"/>
          <w:szCs w:val="42"/>
          <w:u w:val="single"/>
          <w:rtl/>
        </w:rPr>
        <w:t>البشري</w:t>
      </w:r>
    </w:p>
    <w:bookmarkEnd w:id="0"/>
    <w:p w:rsidR="00133772" w:rsidRPr="00133772" w:rsidRDefault="00133772" w:rsidP="00133772">
      <w:pPr>
        <w:spacing w:line="360" w:lineRule="auto"/>
        <w:jc w:val="mediumKashida"/>
        <w:rPr>
          <w:rFonts w:ascii="Traditional Arabic" w:hAnsi="Traditional Arabic" w:cs="Traditional Arabic"/>
          <w:sz w:val="36"/>
          <w:szCs w:val="36"/>
          <w:rtl/>
        </w:rPr>
      </w:pPr>
      <w:r w:rsidRPr="00133772">
        <w:rPr>
          <w:rFonts w:ascii="Traditional Arabic" w:hAnsi="Traditional Arabic" w:cs="Traditional Arabic"/>
          <w:sz w:val="36"/>
          <w:szCs w:val="36"/>
          <w:rtl/>
        </w:rPr>
        <w:t xml:space="preserve">جميع الأطعمة لها تأثير سالب أو موجب، ولكن تتفاوت الفترة التي تحتاجها لإظهار ذلك التأثير. </w:t>
      </w:r>
    </w:p>
    <w:p w:rsidR="00133772" w:rsidRPr="00133772" w:rsidRDefault="00133772" w:rsidP="00133772">
      <w:pPr>
        <w:spacing w:line="360" w:lineRule="auto"/>
        <w:jc w:val="mediumKashida"/>
        <w:rPr>
          <w:rFonts w:ascii="Traditional Arabic" w:hAnsi="Traditional Arabic" w:cs="Traditional Arabic"/>
          <w:sz w:val="36"/>
          <w:szCs w:val="36"/>
          <w:rtl/>
        </w:rPr>
      </w:pPr>
      <w:r w:rsidRPr="00133772">
        <w:rPr>
          <w:rFonts w:ascii="Traditional Arabic" w:hAnsi="Traditional Arabic" w:cs="Traditional Arabic"/>
          <w:sz w:val="36"/>
          <w:szCs w:val="36"/>
          <w:rtl/>
        </w:rPr>
        <w:t xml:space="preserve">فهناك علاقة وثيقة بين نوع الغذاء ومدى استفادة الجسد منه </w:t>
      </w:r>
      <w:proofErr w:type="spellStart"/>
      <w:r w:rsidRPr="00133772">
        <w:rPr>
          <w:rFonts w:ascii="Traditional Arabic" w:hAnsi="Traditional Arabic" w:cs="Traditional Arabic"/>
          <w:sz w:val="36"/>
          <w:szCs w:val="36"/>
          <w:rtl/>
        </w:rPr>
        <w:t>ومايترتب</w:t>
      </w:r>
      <w:proofErr w:type="spellEnd"/>
      <w:r w:rsidRPr="00133772">
        <w:rPr>
          <w:rFonts w:ascii="Traditional Arabic" w:hAnsi="Traditional Arabic" w:cs="Traditional Arabic"/>
          <w:sz w:val="36"/>
          <w:szCs w:val="36"/>
          <w:rtl/>
        </w:rPr>
        <w:t xml:space="preserve"> على ذلك من سلوك </w:t>
      </w:r>
      <w:proofErr w:type="gramStart"/>
      <w:r w:rsidRPr="00133772">
        <w:rPr>
          <w:rFonts w:ascii="Traditional Arabic" w:hAnsi="Traditional Arabic" w:cs="Traditional Arabic"/>
          <w:sz w:val="36"/>
          <w:szCs w:val="36"/>
          <w:rtl/>
        </w:rPr>
        <w:t>معين .</w:t>
      </w:r>
      <w:proofErr w:type="gramEnd"/>
      <w:r w:rsidRPr="00133772">
        <w:rPr>
          <w:rFonts w:ascii="Traditional Arabic" w:hAnsi="Traditional Arabic" w:cs="Traditional Arabic"/>
          <w:sz w:val="36"/>
          <w:szCs w:val="36"/>
          <w:rtl/>
        </w:rPr>
        <w:t xml:space="preserve">. </w:t>
      </w:r>
    </w:p>
    <w:p w:rsidR="00133772" w:rsidRPr="00133772" w:rsidRDefault="00133772" w:rsidP="00133772">
      <w:pPr>
        <w:spacing w:line="360" w:lineRule="auto"/>
        <w:jc w:val="mediumKashida"/>
        <w:rPr>
          <w:rFonts w:ascii="Traditional Arabic" w:hAnsi="Traditional Arabic" w:cs="Traditional Arabic"/>
          <w:sz w:val="36"/>
          <w:szCs w:val="36"/>
          <w:rtl/>
        </w:rPr>
      </w:pPr>
      <w:r w:rsidRPr="00133772">
        <w:rPr>
          <w:rFonts w:ascii="Traditional Arabic" w:hAnsi="Traditional Arabic" w:cs="Traditional Arabic"/>
          <w:sz w:val="36"/>
          <w:szCs w:val="36"/>
          <w:rtl/>
        </w:rPr>
        <w:t xml:space="preserve">فالعلاقة منطقية بما ان ذلك الغذاء يدخل لجسم الانسان ويرتبط </w:t>
      </w:r>
      <w:proofErr w:type="gramStart"/>
      <w:r w:rsidRPr="00133772">
        <w:rPr>
          <w:rFonts w:ascii="Traditional Arabic" w:hAnsi="Traditional Arabic" w:cs="Traditional Arabic"/>
          <w:sz w:val="36"/>
          <w:szCs w:val="36"/>
          <w:rtl/>
        </w:rPr>
        <w:t>به .</w:t>
      </w:r>
      <w:proofErr w:type="gramEnd"/>
      <w:r w:rsidRPr="00133772">
        <w:rPr>
          <w:rFonts w:ascii="Traditional Arabic" w:hAnsi="Traditional Arabic" w:cs="Traditional Arabic"/>
          <w:sz w:val="36"/>
          <w:szCs w:val="36"/>
          <w:rtl/>
        </w:rPr>
        <w:t>.</w:t>
      </w:r>
    </w:p>
    <w:p w:rsidR="00133772" w:rsidRPr="00133772" w:rsidRDefault="00133772" w:rsidP="00133772">
      <w:pPr>
        <w:spacing w:line="360" w:lineRule="auto"/>
        <w:jc w:val="mediumKashida"/>
        <w:rPr>
          <w:rFonts w:ascii="Traditional Arabic" w:hAnsi="Traditional Arabic" w:cs="Traditional Arabic"/>
          <w:sz w:val="36"/>
          <w:szCs w:val="36"/>
          <w:rtl/>
        </w:rPr>
      </w:pPr>
      <w:r w:rsidRPr="00133772">
        <w:rPr>
          <w:rFonts w:ascii="Traditional Arabic" w:hAnsi="Traditional Arabic" w:cs="Traditional Arabic"/>
          <w:sz w:val="36"/>
          <w:szCs w:val="36"/>
          <w:rtl/>
        </w:rPr>
        <w:t xml:space="preserve">التغذية السيئة يسبب العديد من الأمراض وبلا شك ينتج عن ذلك سلوكيات مرتبطة بالمرض مثلا بعض </w:t>
      </w:r>
      <w:proofErr w:type="spellStart"/>
      <w:r w:rsidRPr="00133772">
        <w:rPr>
          <w:rFonts w:ascii="Traditional Arabic" w:hAnsi="Traditional Arabic" w:cs="Traditional Arabic"/>
          <w:sz w:val="36"/>
          <w:szCs w:val="36"/>
          <w:rtl/>
        </w:rPr>
        <w:t>الماكولات</w:t>
      </w:r>
      <w:proofErr w:type="spellEnd"/>
      <w:r w:rsidRPr="00133772">
        <w:rPr>
          <w:rFonts w:ascii="Traditional Arabic" w:hAnsi="Traditional Arabic" w:cs="Traditional Arabic"/>
          <w:sz w:val="36"/>
          <w:szCs w:val="36"/>
          <w:rtl/>
        </w:rPr>
        <w:t xml:space="preserve"> تسبب الخمول والشبع بالتالي يتمثل السلوكيات التي يأتي بها الفرد بالكسل والإرهاق والعكس صحيح التغذية السليمة سيوفر الصحة الملائمة للفرد ويزيد من نشاطه وصحته بالتالي يأتي بسلوكيات مختلفة.</w:t>
      </w:r>
    </w:p>
    <w:p w:rsidR="00133772" w:rsidRPr="00133772" w:rsidRDefault="00133772" w:rsidP="00133772">
      <w:pPr>
        <w:spacing w:line="360" w:lineRule="auto"/>
        <w:jc w:val="mediumKashida"/>
        <w:rPr>
          <w:rFonts w:ascii="Traditional Arabic" w:hAnsi="Traditional Arabic" w:cs="Traditional Arabic"/>
          <w:sz w:val="36"/>
          <w:szCs w:val="36"/>
          <w:rtl/>
        </w:rPr>
      </w:pPr>
      <w:r w:rsidRPr="00133772">
        <w:rPr>
          <w:rFonts w:ascii="Traditional Arabic" w:hAnsi="Traditional Arabic" w:cs="Traditional Arabic"/>
          <w:sz w:val="36"/>
          <w:szCs w:val="36"/>
          <w:rtl/>
        </w:rPr>
        <w:t xml:space="preserve">وكنت قبل فترة قد شاهدت برنامجاً عن تجربة علمية تمت في وقت واحد في بريطانيا وأمريكا لدراسة علاقة الطعام بالذكاء والسلوك البشري. وتمت التجربة الأمريكية في إصلاحية للأحداث استبعدت فيها السكريات والأطعمة الاصطناعية، واستعيض عنها بالخضروات والفواكه الطازجة.. أما التجربة البريطانية فقد تمت في عدد مختار من مدارس لندن وقسم فيها التلاميذ إلى مجموعتين رئيسيتين: المجموعة الأولى </w:t>
      </w:r>
      <w:r w:rsidRPr="00133772">
        <w:rPr>
          <w:rFonts w:ascii="Traditional Arabic" w:hAnsi="Traditional Arabic" w:cs="Traditional Arabic"/>
          <w:sz w:val="36"/>
          <w:szCs w:val="36"/>
          <w:rtl/>
        </w:rPr>
        <w:lastRenderedPageBreak/>
        <w:t>أعطيت أقراصا متكاملة من الفيتامينات والمعادن، والأخرى أعطيت أقراصا مشابهة ولكنها خالية من أي مفعول. وفي كلتا التجربتين كان الباحثون يقومون بتسجيل معايير الذكاء وتغيرات السلوك بشكل يومي ودقيق. وكانت النتيجة ارتفاع معدلات الذكاء لدى من تناولوا الفيتامينات والمعادن في لندن، وانخفاض النزعة العدوانية بنسبة 40% في الإصلاحية الأمريكية!</w:t>
      </w:r>
    </w:p>
    <w:p w:rsidR="00133772" w:rsidRPr="00133772" w:rsidRDefault="00133772" w:rsidP="00133772">
      <w:pPr>
        <w:spacing w:line="360" w:lineRule="auto"/>
        <w:jc w:val="mediumKashida"/>
        <w:rPr>
          <w:rFonts w:ascii="Traditional Arabic" w:hAnsi="Traditional Arabic" w:cs="Traditional Arabic"/>
          <w:sz w:val="36"/>
          <w:szCs w:val="36"/>
          <w:rtl/>
        </w:rPr>
      </w:pPr>
    </w:p>
    <w:p w:rsidR="000816F0" w:rsidRPr="00133772" w:rsidRDefault="00133772" w:rsidP="00133772">
      <w:pPr>
        <w:spacing w:line="360" w:lineRule="auto"/>
        <w:jc w:val="mediumKashida"/>
        <w:rPr>
          <w:rFonts w:ascii="Traditional Arabic" w:hAnsi="Traditional Arabic" w:cs="Traditional Arabic"/>
          <w:sz w:val="36"/>
          <w:szCs w:val="36"/>
        </w:rPr>
      </w:pPr>
      <w:r w:rsidRPr="00133772">
        <w:rPr>
          <w:rFonts w:ascii="Traditional Arabic" w:hAnsi="Traditional Arabic" w:cs="Traditional Arabic"/>
          <w:sz w:val="36"/>
          <w:szCs w:val="36"/>
          <w:rtl/>
        </w:rPr>
        <w:t xml:space="preserve">وكان الدافع وراء التجربتين التأكد من الفرضية القائلة بأن ضعف التغذية واستهلاك السكريات والمواد الاصطناعية يؤثر على ذكاء المرء وسلوكه تجاه الآخرين. وبعد ظهور النتائج أصبح مؤكدا أن كيميائية المخ ودرجة ذكائه تتأثر بنوعية الغذاء بشكل </w:t>
      </w:r>
      <w:proofErr w:type="gramStart"/>
      <w:r w:rsidRPr="00133772">
        <w:rPr>
          <w:rFonts w:ascii="Traditional Arabic" w:hAnsi="Traditional Arabic" w:cs="Traditional Arabic"/>
          <w:sz w:val="36"/>
          <w:szCs w:val="36"/>
          <w:rtl/>
        </w:rPr>
        <w:t>مباشر .</w:t>
      </w:r>
      <w:proofErr w:type="gramEnd"/>
    </w:p>
    <w:sectPr w:rsidR="000816F0" w:rsidRPr="00133772" w:rsidSect="0013377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2"/>
    <w:rsid w:val="000816F0"/>
    <w:rsid w:val="00133772"/>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3608"/>
  <w15:chartTrackingRefBased/>
  <w15:docId w15:val="{15D981BF-9215-4CF2-8200-3A0C811D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3772"/>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13377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2018-02-25T17:12:00Z</cp:lastPrinted>
  <dcterms:created xsi:type="dcterms:W3CDTF">2018-02-25T17:11:00Z</dcterms:created>
  <dcterms:modified xsi:type="dcterms:W3CDTF">2018-02-25T17:12:00Z</dcterms:modified>
</cp:coreProperties>
</file>