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2018845741"/>
        <w:docPartObj>
          <w:docPartGallery w:val="Cover Pages"/>
          <w:docPartUnique/>
        </w:docPartObj>
      </w:sdtPr>
      <w:sdtEndPr>
        <w:rPr>
          <w:rFonts w:ascii="Traditional Arabic" w:hAnsi="Traditional Arabic" w:cs="Traditional Arabic"/>
          <w:color w:val="auto"/>
          <w:sz w:val="36"/>
          <w:szCs w:val="36"/>
          <w:rtl w:val="0"/>
        </w:rPr>
      </w:sdtEndPr>
      <w:sdtContent>
        <w:p w:rsidR="009A1D93" w:rsidRDefault="009A1D93">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2"/>
              <w:szCs w:val="72"/>
              <w:rtl/>
            </w:rPr>
            <w:alias w:val="العنوان"/>
            <w:tag w:val=""/>
            <w:id w:val="1735040861"/>
            <w:placeholder>
              <w:docPart w:val="98C749513A8944C3B37A86ABF174D418"/>
            </w:placeholder>
            <w:dataBinding w:prefixMappings="xmlns:ns0='http://purl.org/dc/elements/1.1/' xmlns:ns1='http://schemas.openxmlformats.org/package/2006/metadata/core-properties' " w:xpath="/ns1:coreProperties[1]/ns0:title[1]" w:storeItemID="{6C3C8BC8-F283-45AE-878A-BAB7291924A1}"/>
            <w:text/>
          </w:sdtPr>
          <w:sdtEndPr/>
          <w:sdtContent>
            <w:p w:rsidR="009A1D93" w:rsidRPr="009A1D93" w:rsidRDefault="009A1D93" w:rsidP="009A1D9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9A1D93">
                <w:rPr>
                  <w:rFonts w:asciiTheme="majorHAnsi" w:eastAsiaTheme="majorEastAsia" w:hAnsiTheme="majorHAnsi" w:cs="Times New Roman" w:hint="cs"/>
                  <w:b/>
                  <w:bCs/>
                  <w:caps/>
                  <w:color w:val="4472C4" w:themeColor="accent1"/>
                  <w:sz w:val="72"/>
                  <w:szCs w:val="72"/>
                  <w:rtl/>
                </w:rPr>
                <w:t>تخزين</w:t>
              </w:r>
              <w:r w:rsidRPr="009A1D93">
                <w:rPr>
                  <w:rFonts w:asciiTheme="majorHAnsi" w:eastAsiaTheme="majorEastAsia" w:hAnsiTheme="majorHAnsi" w:cs="Times New Roman"/>
                  <w:b/>
                  <w:bCs/>
                  <w:caps/>
                  <w:color w:val="4472C4" w:themeColor="accent1"/>
                  <w:sz w:val="72"/>
                  <w:szCs w:val="72"/>
                  <w:rtl/>
                </w:rPr>
                <w:t xml:space="preserve"> </w:t>
              </w:r>
              <w:r w:rsidRPr="009A1D93">
                <w:rPr>
                  <w:rFonts w:asciiTheme="majorHAnsi" w:eastAsiaTheme="majorEastAsia" w:hAnsiTheme="majorHAnsi" w:cs="Times New Roman" w:hint="cs"/>
                  <w:b/>
                  <w:bCs/>
                  <w:caps/>
                  <w:color w:val="4472C4" w:themeColor="accent1"/>
                  <w:sz w:val="72"/>
                  <w:szCs w:val="72"/>
                  <w:rtl/>
                </w:rPr>
                <w:t>المعلومات</w:t>
              </w:r>
              <w:r w:rsidRPr="009A1D93">
                <w:rPr>
                  <w:rFonts w:asciiTheme="majorHAnsi" w:eastAsiaTheme="majorEastAsia" w:hAnsiTheme="majorHAnsi" w:cs="Times New Roman"/>
                  <w:b/>
                  <w:bCs/>
                  <w:caps/>
                  <w:color w:val="4472C4" w:themeColor="accent1"/>
                  <w:sz w:val="72"/>
                  <w:szCs w:val="72"/>
                  <w:rtl/>
                </w:rPr>
                <w:t xml:space="preserve"> </w:t>
              </w:r>
              <w:r w:rsidRPr="009A1D93">
                <w:rPr>
                  <w:rFonts w:asciiTheme="majorHAnsi" w:eastAsiaTheme="majorEastAsia" w:hAnsiTheme="majorHAnsi" w:cs="Times New Roman" w:hint="cs"/>
                  <w:b/>
                  <w:bCs/>
                  <w:caps/>
                  <w:color w:val="4472C4" w:themeColor="accent1"/>
                  <w:sz w:val="72"/>
                  <w:szCs w:val="72"/>
                  <w:rtl/>
                </w:rPr>
                <w:t>عن</w:t>
              </w:r>
              <w:r w:rsidRPr="009A1D93">
                <w:rPr>
                  <w:rFonts w:asciiTheme="majorHAnsi" w:eastAsiaTheme="majorEastAsia" w:hAnsiTheme="majorHAnsi" w:cs="Times New Roman"/>
                  <w:b/>
                  <w:bCs/>
                  <w:caps/>
                  <w:color w:val="4472C4" w:themeColor="accent1"/>
                  <w:sz w:val="72"/>
                  <w:szCs w:val="72"/>
                  <w:rtl/>
                </w:rPr>
                <w:t xml:space="preserve"> </w:t>
              </w:r>
              <w:r w:rsidRPr="009A1D93">
                <w:rPr>
                  <w:rFonts w:asciiTheme="majorHAnsi" w:eastAsiaTheme="majorEastAsia" w:hAnsiTheme="majorHAnsi" w:cs="Times New Roman" w:hint="cs"/>
                  <w:b/>
                  <w:bCs/>
                  <w:caps/>
                  <w:color w:val="4472C4" w:themeColor="accent1"/>
                  <w:sz w:val="72"/>
                  <w:szCs w:val="72"/>
                  <w:rtl/>
                </w:rPr>
                <w:t>طريق</w:t>
              </w:r>
              <w:r w:rsidRPr="009A1D93">
                <w:rPr>
                  <w:rFonts w:asciiTheme="majorHAnsi" w:eastAsiaTheme="majorEastAsia" w:hAnsiTheme="majorHAnsi" w:cs="Times New Roman"/>
                  <w:b/>
                  <w:bCs/>
                  <w:caps/>
                  <w:color w:val="4472C4" w:themeColor="accent1"/>
                  <w:sz w:val="72"/>
                  <w:szCs w:val="72"/>
                  <w:rtl/>
                </w:rPr>
                <w:t xml:space="preserve"> </w:t>
              </w:r>
              <w:r w:rsidRPr="009A1D93">
                <w:rPr>
                  <w:rFonts w:asciiTheme="majorHAnsi" w:eastAsiaTheme="majorEastAsia" w:hAnsiTheme="majorHAnsi" w:cs="Times New Roman" w:hint="cs"/>
                  <w:b/>
                  <w:bCs/>
                  <w:caps/>
                  <w:color w:val="4472C4" w:themeColor="accent1"/>
                  <w:sz w:val="72"/>
                  <w:szCs w:val="72"/>
                  <w:rtl/>
                </w:rPr>
                <w:t>الوسائط</w:t>
              </w:r>
              <w:r w:rsidRPr="009A1D93">
                <w:rPr>
                  <w:rFonts w:asciiTheme="majorHAnsi" w:eastAsiaTheme="majorEastAsia" w:hAnsiTheme="majorHAnsi" w:cs="Times New Roman"/>
                  <w:b/>
                  <w:bCs/>
                  <w:caps/>
                  <w:color w:val="4472C4" w:themeColor="accent1"/>
                  <w:sz w:val="72"/>
                  <w:szCs w:val="72"/>
                  <w:rtl/>
                </w:rPr>
                <w:t xml:space="preserve"> </w:t>
              </w:r>
              <w:r w:rsidRPr="009A1D93">
                <w:rPr>
                  <w:rFonts w:asciiTheme="majorHAnsi" w:eastAsiaTheme="majorEastAsia" w:hAnsiTheme="majorHAnsi" w:cs="Times New Roman" w:hint="cs"/>
                  <w:b/>
                  <w:bCs/>
                  <w:caps/>
                  <w:color w:val="4472C4" w:themeColor="accent1"/>
                  <w:sz w:val="72"/>
                  <w:szCs w:val="72"/>
                  <w:rtl/>
                </w:rPr>
                <w:t>المغناطيسية</w:t>
              </w:r>
            </w:p>
          </w:sdtContent>
        </w:sdt>
        <w:p w:rsidR="009A1D93" w:rsidRDefault="009A1D93">
          <w:pPr>
            <w:pStyle w:val="NoSpacing"/>
            <w:spacing w:before="480"/>
            <w:jc w:val="center"/>
            <w:rPr>
              <w:color w:val="4472C4" w:themeColor="accent1"/>
              <w:rtl/>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A1D93" w:rsidRPr="009A1D93" w:rsidRDefault="009A1D93" w:rsidP="00CC2598">
                                    <w:pPr>
                                      <w:pStyle w:val="NoSpacing"/>
                                      <w:spacing w:after="40"/>
                                      <w:jc w:val="center"/>
                                      <w:rPr>
                                        <w:b/>
                                        <w:bCs/>
                                        <w:caps/>
                                        <w:color w:val="4472C4" w:themeColor="accent1"/>
                                        <w:sz w:val="32"/>
                                        <w:szCs w:val="32"/>
                                      </w:rPr>
                                    </w:pPr>
                                    <w:r w:rsidRPr="009A1D93">
                                      <w:rPr>
                                        <w:rFonts w:hint="cs"/>
                                        <w:b/>
                                        <w:bCs/>
                                        <w:caps/>
                                        <w:color w:val="4472C4" w:themeColor="accent1"/>
                                        <w:sz w:val="32"/>
                                        <w:szCs w:val="32"/>
                                        <w:rtl/>
                                      </w:rPr>
                                      <w:t xml:space="preserve">إعداد الطالب: </w:t>
                                    </w:r>
                                  </w:p>
                                </w:sdtContent>
                              </w:sdt>
                              <w:p w:rsidR="009A1D93" w:rsidRPr="009A1D93" w:rsidRDefault="00CC2598">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6"/>
                                        <w:szCs w:val="26"/>
                                        <w:rtl/>
                                      </w:rPr>
                                      <w:t xml:space="preserve">     </w:t>
                                    </w:r>
                                  </w:sdtContent>
                                </w:sdt>
                              </w:p>
                              <w:p w:rsidR="009A1D93" w:rsidRPr="009A1D93" w:rsidRDefault="00CC2598">
                                <w:pPr>
                                  <w:pStyle w:val="NoSpacing"/>
                                  <w:jc w:val="center"/>
                                  <w:rPr>
                                    <w:b/>
                                    <w:bCs/>
                                    <w:color w:val="4472C4" w:themeColor="accent1"/>
                                    <w:sz w:val="26"/>
                                    <w:szCs w:val="26"/>
                                  </w:rPr>
                                </w:pPr>
                                <w:sdt>
                                  <w:sdtPr>
                                    <w:rPr>
                                      <w:b/>
                                      <w:bCs/>
                                      <w:color w:val="4472C4" w:themeColor="accent1"/>
                                      <w:sz w:val="26"/>
                                      <w:szCs w:val="2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E3A02">
                                      <w:rPr>
                                        <w:b/>
                                        <w:bCs/>
                                        <w:color w:val="4472C4"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A1D93" w:rsidRPr="009A1D93" w:rsidRDefault="009A1D93" w:rsidP="00CC2598">
                              <w:pPr>
                                <w:pStyle w:val="NoSpacing"/>
                                <w:spacing w:after="40"/>
                                <w:jc w:val="center"/>
                                <w:rPr>
                                  <w:b/>
                                  <w:bCs/>
                                  <w:caps/>
                                  <w:color w:val="4472C4" w:themeColor="accent1"/>
                                  <w:sz w:val="32"/>
                                  <w:szCs w:val="32"/>
                                </w:rPr>
                              </w:pPr>
                              <w:r w:rsidRPr="009A1D93">
                                <w:rPr>
                                  <w:rFonts w:hint="cs"/>
                                  <w:b/>
                                  <w:bCs/>
                                  <w:caps/>
                                  <w:color w:val="4472C4" w:themeColor="accent1"/>
                                  <w:sz w:val="32"/>
                                  <w:szCs w:val="32"/>
                                  <w:rtl/>
                                </w:rPr>
                                <w:t xml:space="preserve">إعداد الطالب: </w:t>
                              </w:r>
                            </w:p>
                          </w:sdtContent>
                        </w:sdt>
                        <w:p w:rsidR="009A1D93" w:rsidRPr="009A1D93" w:rsidRDefault="00CC2598">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6"/>
                                  <w:szCs w:val="26"/>
                                  <w:rtl/>
                                </w:rPr>
                                <w:t xml:space="preserve">     </w:t>
                              </w:r>
                            </w:sdtContent>
                          </w:sdt>
                        </w:p>
                        <w:p w:rsidR="009A1D93" w:rsidRPr="009A1D93" w:rsidRDefault="00CC2598">
                          <w:pPr>
                            <w:pStyle w:val="NoSpacing"/>
                            <w:jc w:val="center"/>
                            <w:rPr>
                              <w:b/>
                              <w:bCs/>
                              <w:color w:val="4472C4" w:themeColor="accent1"/>
                              <w:sz w:val="26"/>
                              <w:szCs w:val="26"/>
                            </w:rPr>
                          </w:pPr>
                          <w:sdt>
                            <w:sdtPr>
                              <w:rPr>
                                <w:b/>
                                <w:bCs/>
                                <w:color w:val="4472C4" w:themeColor="accent1"/>
                                <w:sz w:val="26"/>
                                <w:szCs w:val="2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E3A02">
                                <w:rPr>
                                  <w:b/>
                                  <w:bCs/>
                                  <w:color w:val="4472C4" w:themeColor="accent1"/>
                                  <w:sz w:val="26"/>
                                  <w:szCs w:val="26"/>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A1D93" w:rsidRDefault="009A1D93">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9A1D93" w:rsidRPr="009A1D93" w:rsidRDefault="009A1D93" w:rsidP="009A1D93">
      <w:pPr>
        <w:spacing w:line="360" w:lineRule="auto"/>
        <w:jc w:val="mediumKashida"/>
        <w:rPr>
          <w:rFonts w:ascii="Traditional Arabic" w:hAnsi="Traditional Arabic" w:cs="Traditional Arabic"/>
          <w:sz w:val="36"/>
          <w:szCs w:val="36"/>
          <w:rtl/>
        </w:rPr>
      </w:pPr>
      <w:bookmarkStart w:id="0" w:name="_GoBack"/>
      <w:r w:rsidRPr="009A1D93">
        <w:rPr>
          <w:rFonts w:ascii="Traditional Arabic" w:hAnsi="Traditional Arabic" w:cs="Traditional Arabic"/>
          <w:sz w:val="36"/>
          <w:szCs w:val="36"/>
          <w:rtl/>
        </w:rPr>
        <w:lastRenderedPageBreak/>
        <w:t xml:space="preserve">تعتمد عملية تخزين البيانات فى الأقراص الصلبة على المغنطة مثلما يحدث فى مشغلات الأقراص المرنة. بينما تختلف عنهم مشغلات الأقراص البصرية </w:t>
      </w:r>
      <w:r w:rsidRPr="009A1D93">
        <w:rPr>
          <w:rFonts w:ascii="Traditional Arabic" w:hAnsi="Traditional Arabic" w:cs="Traditional Arabic"/>
          <w:sz w:val="36"/>
          <w:szCs w:val="36"/>
        </w:rPr>
        <w:t>Optical Disk Drivers</w:t>
      </w:r>
      <w:r w:rsidRPr="009A1D93">
        <w:rPr>
          <w:rFonts w:ascii="Traditional Arabic" w:hAnsi="Traditional Arabic" w:cs="Traditional Arabic"/>
          <w:sz w:val="36"/>
          <w:szCs w:val="36"/>
          <w:rtl/>
        </w:rPr>
        <w:t xml:space="preserve"> وهى تستخدم كوسيلة تخزين ثانوية. وونتيجة لما تتميز به أقراص الوسائط المغناطيسية من أداء عالي وسعه عالية ستظل هى وسيلة التخزين الأساسية ولن يحل محلها أقراص الوسائط البصرية مثل اسطوانات اليزر المدمجة.</w:t>
      </w:r>
    </w:p>
    <w:p w:rsidR="009A1D93" w:rsidRPr="009A1D93" w:rsidRDefault="009A1D93" w:rsidP="009A1D93">
      <w:pPr>
        <w:spacing w:line="360" w:lineRule="auto"/>
        <w:jc w:val="mediumKashida"/>
        <w:rPr>
          <w:rFonts w:ascii="Traditional Arabic" w:hAnsi="Traditional Arabic" w:cs="Traditional Arabic"/>
          <w:sz w:val="36"/>
          <w:szCs w:val="36"/>
          <w:rtl/>
        </w:rPr>
      </w:pPr>
      <w:r w:rsidRPr="009A1D93">
        <w:rPr>
          <w:rFonts w:ascii="Traditional Arabic" w:hAnsi="Traditional Arabic" w:cs="Traditional Arabic"/>
          <w:sz w:val="36"/>
          <w:szCs w:val="36"/>
          <w:rtl/>
        </w:rPr>
        <w:t xml:space="preserve">تمل مشغلات الأقراص المغناطيسية سواء المرنة أو الصلبة باستخدام الكهرومغناطيسية. والفكرة الأساسية تعتمد على نظرية التأثير الكهرومغناطيسى التى تقول أنه لو فرض أن هناك تيار كهربى يمر بموصل فانه ينشأ مجال مغناطيسيى حول الموصل فيؤثر هذا المجال على المادة المغناطيسية الموجودة فيه. وعندما ينعكس اتجاه التيار المار بالموصل ينعكس بالتالى اتجاه المجال المغناطيسيى الناشىء. وتعد هذه النظرية هى الأساس الذى بنى عليه المحرك الكهربى. أيضا هناك تأثير آخر لنظرية التأثير الكهرومغناطيسى، .وهى إذا تحرك موصل خلال مجال مغناطيسيى متغير ينشأ تيار كهربى متغير فى الموصل. ويعتبر هذا التأثير هو الاساس الذى بنى عليه المولد الكهربى. وقد استخدم التأثير الأول لنظرية الكهرومغناطيسية فى عمليات تخزين البيانات على الأقراص المغناطيسية بينما استخدم التأثير الثانى للنظرية فى عمليات القراءة. تأخذ رأس القراءة / الكتابة سواء فى مشغل الأقراص الصلبة أو مشغل الأقراص المرنة شكل حدوة الفرس ( حرف </w:t>
      </w:r>
      <w:r w:rsidRPr="009A1D93">
        <w:rPr>
          <w:rFonts w:ascii="Traditional Arabic" w:hAnsi="Traditional Arabic" w:cs="Traditional Arabic"/>
          <w:sz w:val="36"/>
          <w:szCs w:val="36"/>
        </w:rPr>
        <w:t>U</w:t>
      </w:r>
      <w:r w:rsidRPr="009A1D93">
        <w:rPr>
          <w:rFonts w:ascii="Traditional Arabic" w:hAnsi="Traditional Arabic" w:cs="Traditional Arabic"/>
          <w:sz w:val="36"/>
          <w:szCs w:val="36"/>
          <w:rtl/>
        </w:rPr>
        <w:t xml:space="preserve"> ) المصنوع من ماده مغناطيسية </w:t>
      </w:r>
      <w:r w:rsidRPr="009A1D93">
        <w:rPr>
          <w:rFonts w:ascii="Traditional Arabic" w:hAnsi="Traditional Arabic" w:cs="Traditional Arabic"/>
          <w:sz w:val="36"/>
          <w:szCs w:val="36"/>
          <w:rtl/>
        </w:rPr>
        <w:lastRenderedPageBreak/>
        <w:t xml:space="preserve">ملفوف عليه ملف كهربى. فعندما تسمح الدائرة المنطقية للمشغل بمرور التيار الكهربى فى الملف، فانه ينشأ مجال مغناطيسيى بحدوة الفرس المغناطيسية بحيث ينعكس اتجاه هذا المجال إذا انعكس اتجاه التار المار فى الملف. وبمجرد أن نشأ المجال المغناطيسيى فى الرأس فانه يعبر الثغرة الهوائية الموجوده عند طرفى حدوة الفرس ومنها إلى المادة الوسيطة المغناطيسية التى هى أقل مقاومة مغناطيسية عن الثغرة الهواية، لذا لجأ المجال المغناطيسيى إليها واتخذها مسار له. تتمغنط المادة الوسيطة الموجودة أسفل الثغرة الهوائية بقطبيه حسب المجال الغناطيسيى الناشىء عن التيار الكهربى المار فى الملف. وتتوقف قطبية المجال المغناطيسيى على اتجاه التيار الكهربى بالملف. وبالتالى عندما يتغير اتجاه التيار الكهربى بالملف تتغير قطبية مغنطة المادة الوسيطة. تصنع رقائق الوسط فى الأقراص الصلبة من الألمونيوم أو الزجاج المغطى بطبقة من مادة مغناطيسية. وتكون عادة المادة المغناطيسية عبارة عن خليط من أكسيد الحديد مع عدة عناصر أخرى. عندما يكون القرص الصلب فى حالة مسح من البيانات تكون قطبية الجزيئات المغناطيسية بالوسط المغناطيسى فى حالة عدم ترتيب أى فى وضع عشوائى. ولأن مجالات هذه الجزيئات المغناطيسية تأخذ اتجاهات عشوائية مختلفه فإن مجال الجزىء الواحد يلغى مجال الجزىء الآخر الذى يكون مضاد له فى الاتجاه. وعندما ينبعث المجال المغناطيسي من الثغرة الهوائية للرأس فانه يجعل الجزيئات المغناطيسية الموجوده بالوسط أسفل الثغره الهوائية تصطف على استقامة واحده فى </w:t>
      </w:r>
      <w:r w:rsidRPr="009A1D93">
        <w:rPr>
          <w:rFonts w:ascii="Traditional Arabic" w:hAnsi="Traditional Arabic" w:cs="Traditional Arabic"/>
          <w:sz w:val="36"/>
          <w:szCs w:val="36"/>
          <w:rtl/>
        </w:rPr>
        <w:lastRenderedPageBreak/>
        <w:t>اتجاه واحد. فى هذه الحالة لا يلغى مجال جزىء مجال جزىء آخر وبالتالى تتمغنط منطقة لوسط الموجودة أسفل الثغرة. وإذا دارات رقائق القرص الصلب يمكن مغنطة منطقة أخرى من الـ</w:t>
      </w:r>
      <w:r w:rsidRPr="009A1D93">
        <w:rPr>
          <w:rFonts w:ascii="Traditional Arabic" w:hAnsi="Traditional Arabic" w:cs="Traditional Arabic"/>
          <w:sz w:val="36"/>
          <w:szCs w:val="36"/>
        </w:rPr>
        <w:t>Disk</w:t>
      </w:r>
      <w:r w:rsidRPr="009A1D93">
        <w:rPr>
          <w:rFonts w:ascii="Traditional Arabic" w:hAnsi="Traditional Arabic" w:cs="Traditional Arabic"/>
          <w:sz w:val="36"/>
          <w:szCs w:val="36"/>
          <w:rtl/>
        </w:rPr>
        <w:t xml:space="preserve"> وهكذا. وعندما ينعكس اتجاه التيار الكهربى فى ملفالرأس، تنعكس بالمثل قطبية المغنطة بمنطقة الوسط أسفل الثغرة ويطلق على انعكاسه الفيض هذه\ا المصطلح </w:t>
      </w:r>
      <w:r w:rsidRPr="009A1D93">
        <w:rPr>
          <w:rFonts w:ascii="Traditional Arabic" w:hAnsi="Traditional Arabic" w:cs="Traditional Arabic"/>
          <w:sz w:val="36"/>
          <w:szCs w:val="36"/>
        </w:rPr>
        <w:t>Flux Reversal</w:t>
      </w:r>
      <w:r w:rsidRPr="009A1D93">
        <w:rPr>
          <w:rFonts w:ascii="Traditional Arabic" w:hAnsi="Traditional Arabic" w:cs="Traditional Arabic"/>
          <w:sz w:val="36"/>
          <w:szCs w:val="36"/>
          <w:rtl/>
        </w:rPr>
        <w:t xml:space="preserve"> أو </w:t>
      </w:r>
      <w:r w:rsidRPr="009A1D93">
        <w:rPr>
          <w:rFonts w:ascii="Traditional Arabic" w:hAnsi="Traditional Arabic" w:cs="Traditional Arabic"/>
          <w:sz w:val="36"/>
          <w:szCs w:val="36"/>
        </w:rPr>
        <w:t>Flux Transition</w:t>
      </w:r>
      <w:r w:rsidRPr="009A1D93">
        <w:rPr>
          <w:rFonts w:ascii="Traditional Arabic" w:hAnsi="Traditional Arabic" w:cs="Traditional Arabic"/>
          <w:sz w:val="36"/>
          <w:szCs w:val="36"/>
          <w:rtl/>
        </w:rPr>
        <w:t xml:space="preserve">. وعملية تسجيل المشغل للبيانات ماهى إلا وضع انعكاسات للفيض المغناطيسى عل رقائق القرص الصلب. حيث تأخذ سلسلة </w:t>
      </w:r>
      <w:r w:rsidRPr="009A1D93">
        <w:rPr>
          <w:rFonts w:ascii="Traditional Arabic" w:hAnsi="Traditional Arabic" w:cs="Traditional Arabic"/>
          <w:sz w:val="36"/>
          <w:szCs w:val="36"/>
        </w:rPr>
        <w:t>Bits</w:t>
      </w:r>
      <w:r w:rsidRPr="009A1D93">
        <w:rPr>
          <w:rFonts w:ascii="Traditional Arabic" w:hAnsi="Traditional Arabic" w:cs="Traditional Arabic"/>
          <w:sz w:val="36"/>
          <w:szCs w:val="36"/>
          <w:rtl/>
        </w:rPr>
        <w:t xml:space="preserve"> البيانات صورة معينه من انعكاسات الفيض تحتل مساحات خاصة من الوسط بحيث يخصص لكل </w:t>
      </w:r>
      <w:r w:rsidRPr="009A1D93">
        <w:rPr>
          <w:rFonts w:ascii="Traditional Arabic" w:hAnsi="Traditional Arabic" w:cs="Traditional Arabic"/>
          <w:sz w:val="36"/>
          <w:szCs w:val="36"/>
        </w:rPr>
        <w:t>Bit</w:t>
      </w:r>
      <w:r w:rsidRPr="009A1D93">
        <w:rPr>
          <w:rFonts w:ascii="Traditional Arabic" w:hAnsi="Traditional Arabic" w:cs="Traditional Arabic"/>
          <w:sz w:val="36"/>
          <w:szCs w:val="36"/>
          <w:rtl/>
        </w:rPr>
        <w:t xml:space="preserve"> مساحة تعرف باسم خلية الانتقال </w:t>
      </w:r>
      <w:r w:rsidRPr="009A1D93">
        <w:rPr>
          <w:rFonts w:ascii="Traditional Arabic" w:hAnsi="Traditional Arabic" w:cs="Traditional Arabic"/>
          <w:sz w:val="36"/>
          <w:szCs w:val="36"/>
        </w:rPr>
        <w:t>Transition Cell</w:t>
      </w:r>
      <w:r w:rsidRPr="009A1D93">
        <w:rPr>
          <w:rFonts w:ascii="Traditional Arabic" w:hAnsi="Traditional Arabic" w:cs="Traditional Arabic"/>
          <w:sz w:val="36"/>
          <w:szCs w:val="36"/>
          <w:rtl/>
        </w:rPr>
        <w:t xml:space="preserve"> ويمكن القول بأن خلية الانتقال هى مساحة معينه من القرص يتم التحكم فيها عن طريق سرعة دوران القرص وتوقيتات انعكاسات الفيض. تستخدم صورة معينه للانعكاسات لمثيل سلسلة </w:t>
      </w:r>
      <w:r w:rsidRPr="009A1D93">
        <w:rPr>
          <w:rFonts w:ascii="Traditional Arabic" w:hAnsi="Traditional Arabic" w:cs="Traditional Arabic"/>
          <w:sz w:val="36"/>
          <w:szCs w:val="36"/>
        </w:rPr>
        <w:t>Bits</w:t>
      </w:r>
      <w:r w:rsidRPr="009A1D93">
        <w:rPr>
          <w:rFonts w:ascii="Traditional Arabic" w:hAnsi="Traditional Arabic" w:cs="Traditional Arabic"/>
          <w:sz w:val="36"/>
          <w:szCs w:val="36"/>
          <w:rtl/>
        </w:rPr>
        <w:t xml:space="preserve"> البينات ويتم ذلك طبقا لقاعده معينة يطلق عليها تشفير البيانات </w:t>
      </w:r>
      <w:r w:rsidRPr="009A1D93">
        <w:rPr>
          <w:rFonts w:ascii="Traditional Arabic" w:hAnsi="Traditional Arabic" w:cs="Traditional Arabic"/>
          <w:sz w:val="36"/>
          <w:szCs w:val="36"/>
        </w:rPr>
        <w:t>Encoding Of Data</w:t>
      </w:r>
      <w:r w:rsidRPr="009A1D93">
        <w:rPr>
          <w:rFonts w:ascii="Traditional Arabic" w:hAnsi="Traditional Arabic" w:cs="Traditional Arabic"/>
          <w:sz w:val="36"/>
          <w:szCs w:val="36"/>
          <w:rtl/>
        </w:rPr>
        <w:t xml:space="preserve">، وهناك عدة طرق للتشفير </w:t>
      </w:r>
      <w:r w:rsidRPr="009A1D93">
        <w:rPr>
          <w:rFonts w:ascii="Traditional Arabic" w:hAnsi="Traditional Arabic" w:cs="Traditional Arabic"/>
          <w:sz w:val="36"/>
          <w:szCs w:val="36"/>
        </w:rPr>
        <w:t>Encoding Methods</w:t>
      </w:r>
      <w:r w:rsidRPr="009A1D93">
        <w:rPr>
          <w:rFonts w:ascii="Traditional Arabic" w:hAnsi="Traditional Arabic" w:cs="Traditional Arabic"/>
          <w:sz w:val="36"/>
          <w:szCs w:val="36"/>
          <w:rtl/>
        </w:rPr>
        <w:t xml:space="preserve">. تقوم الدائر المنطقية أو حاكم المشغل بأخذ البيانات المطلوب تخزينها ثم تشفيرها إلى سلسلة من الانعكاسات للفيض خلال فترة زمنية معينة طبقا لطريقة التشفير المستخدمة فى المشغل. وأكثر طرق التشفير شيوعا هما طريقة التعديل التردى المعدل </w:t>
      </w:r>
      <w:r w:rsidRPr="009A1D93">
        <w:rPr>
          <w:rFonts w:ascii="Traditional Arabic" w:hAnsi="Traditional Arabic" w:cs="Traditional Arabic"/>
          <w:sz w:val="36"/>
          <w:szCs w:val="36"/>
        </w:rPr>
        <w:t xml:space="preserve">Modified Frequency </w:t>
      </w:r>
      <w:r w:rsidRPr="009A1D93">
        <w:rPr>
          <w:rFonts w:ascii="Traditional Arabic" w:hAnsi="Traditional Arabic" w:cs="Traditional Arabic"/>
          <w:sz w:val="36"/>
          <w:szCs w:val="36"/>
        </w:rPr>
        <w:lastRenderedPageBreak/>
        <w:t>Modulation</w:t>
      </w:r>
      <w:r w:rsidRPr="009A1D93">
        <w:rPr>
          <w:rFonts w:ascii="Traditional Arabic" w:hAnsi="Traditional Arabic" w:cs="Traditional Arabic"/>
          <w:sz w:val="36"/>
          <w:szCs w:val="36"/>
          <w:rtl/>
        </w:rPr>
        <w:t xml:space="preserve"> ويطلق عليها المصطلح </w:t>
      </w:r>
      <w:r w:rsidRPr="009A1D93">
        <w:rPr>
          <w:rFonts w:ascii="Traditional Arabic" w:hAnsi="Traditional Arabic" w:cs="Traditional Arabic"/>
          <w:sz w:val="36"/>
          <w:szCs w:val="36"/>
        </w:rPr>
        <w:t>MFM</w:t>
      </w:r>
      <w:r w:rsidRPr="009A1D93">
        <w:rPr>
          <w:rFonts w:ascii="Traditional Arabic" w:hAnsi="Traditional Arabic" w:cs="Traditional Arabic"/>
          <w:sz w:val="36"/>
          <w:szCs w:val="36"/>
          <w:rtl/>
        </w:rPr>
        <w:t xml:space="preserve"> وطرقة اخرى سمى </w:t>
      </w:r>
      <w:r w:rsidRPr="009A1D93">
        <w:rPr>
          <w:rFonts w:ascii="Traditional Arabic" w:hAnsi="Traditional Arabic" w:cs="Traditional Arabic"/>
          <w:sz w:val="36"/>
          <w:szCs w:val="36"/>
        </w:rPr>
        <w:t>Run Length Limited</w:t>
      </w:r>
      <w:r w:rsidRPr="009A1D93">
        <w:rPr>
          <w:rFonts w:ascii="Traditional Arabic" w:hAnsi="Traditional Arabic" w:cs="Traditional Arabic"/>
          <w:sz w:val="36"/>
          <w:szCs w:val="36"/>
          <w:rtl/>
        </w:rPr>
        <w:t xml:space="preserve"> معروفه بالمصطلح </w:t>
      </w:r>
      <w:r w:rsidRPr="009A1D93">
        <w:rPr>
          <w:rFonts w:ascii="Traditional Arabic" w:hAnsi="Traditional Arabic" w:cs="Traditional Arabic"/>
          <w:sz w:val="36"/>
          <w:szCs w:val="36"/>
        </w:rPr>
        <w:t>RLL</w:t>
      </w:r>
      <w:r w:rsidRPr="009A1D93">
        <w:rPr>
          <w:rFonts w:ascii="Traditional Arabic" w:hAnsi="Traditional Arabic" w:cs="Traditional Arabic"/>
          <w:sz w:val="36"/>
          <w:szCs w:val="36"/>
          <w:rtl/>
        </w:rPr>
        <w:t>. أثناء عملية الكتابة على القرص الصلب، فانه يسلط جهد كهربى على ملف رأس القراءة / الكتابة. تتوقف قطبية هذا الجهد على البيانات الجارى كتابتها، وعندما تتغير هذه القطبية تتغير معها قطبية المجال المغناطسى الذى يسجل على الماد الوسيطة للقرص والذ يمثل البيانات الجارى كتابتها. بينما فى عملية القراءة ، فانه تتولد نبضة جهد بملف رأس القراءة عندما يمر بنقطه فى الوسط تحتوى على انعكاس فيض. وعندما تكون الانعكاس من موجب إلى سالب فان نبضة الجهد المتولدة بملف الرأس تكون سالبه والعكس، فعندما تكون الانعكاسه من السالبه إلى الموجب تكون نبضى الجهد المتولدة موجبة. ونستطيع أن نقول أن رأس القرص تصبح كاشفة لانعكاسات (انتقالات</w:t>
      </w:r>
      <w:r w:rsidRPr="009A1D93">
        <w:rPr>
          <w:rFonts w:ascii="Traditional Arabic" w:hAnsi="Traditional Arabic" w:cs="Traditional Arabic"/>
          <w:sz w:val="36"/>
          <w:szCs w:val="36"/>
        </w:rPr>
        <w:t>Transitions</w:t>
      </w:r>
      <w:r w:rsidRPr="009A1D93">
        <w:rPr>
          <w:rFonts w:ascii="Traditional Arabic" w:hAnsi="Traditional Arabic" w:cs="Traditional Arabic"/>
          <w:sz w:val="36"/>
          <w:szCs w:val="36"/>
          <w:rtl/>
        </w:rPr>
        <w:t xml:space="preserve"> ) الفيض اثناء عملية القراءة بحيث تولد نبضة جهد كلما مرت بانتقاله فيض. وعندما تمر الرأس بمناطق لا تحتوى انعكاسات فيض فانه لن تتولد أى نبضات جهد بملف الرأس. يبين شكل 3-1 العلاقة بين الشكل الموجى للكتابة وانتقالات الفيض المسجلة ع القرص.</w:t>
      </w:r>
    </w:p>
    <w:p w:rsidR="009A1D93" w:rsidRPr="009A1D93" w:rsidRDefault="009A1D93" w:rsidP="009A1D93">
      <w:pPr>
        <w:spacing w:line="360" w:lineRule="auto"/>
        <w:jc w:val="mediumKashida"/>
        <w:rPr>
          <w:rFonts w:ascii="Traditional Arabic" w:hAnsi="Traditional Arabic" w:cs="Traditional Arabic"/>
          <w:sz w:val="36"/>
          <w:szCs w:val="36"/>
          <w:rtl/>
        </w:rPr>
      </w:pPr>
    </w:p>
    <w:p w:rsidR="009A1D93" w:rsidRPr="009A1D93" w:rsidRDefault="009A1D93" w:rsidP="009A1D93">
      <w:pPr>
        <w:spacing w:line="360" w:lineRule="auto"/>
        <w:jc w:val="mediumKashida"/>
        <w:rPr>
          <w:rFonts w:ascii="Traditional Arabic" w:hAnsi="Traditional Arabic" w:cs="Traditional Arabic"/>
          <w:sz w:val="36"/>
          <w:szCs w:val="36"/>
          <w:rtl/>
        </w:rPr>
      </w:pPr>
      <w:r w:rsidRPr="009A1D93">
        <w:rPr>
          <w:rFonts w:ascii="Traditional Arabic" w:hAnsi="Traditional Arabic" w:cs="Traditional Arabic"/>
          <w:sz w:val="36"/>
          <w:szCs w:val="36"/>
          <w:rtl/>
        </w:rPr>
        <w:t xml:space="preserve">نستطيع أن نعتبر أن موجة الكتابة هى موجة جهد مربعه ذات مستوى جهد موجب ومستوى جهد سالب، حيث تقوم هذه الموجه بتغيير قطبية مغنطة الوسط </w:t>
      </w:r>
      <w:r w:rsidRPr="009A1D93">
        <w:rPr>
          <w:rFonts w:ascii="Traditional Arabic" w:hAnsi="Traditional Arabic" w:cs="Traditional Arabic"/>
          <w:sz w:val="36"/>
          <w:szCs w:val="36"/>
          <w:rtl/>
        </w:rPr>
        <w:lastRenderedPageBreak/>
        <w:t>للقرص حسب تغير مستوى موجة جهد إشارة الكتابة التى هى صورة تمثل البينات الجارى كتابتها. وكما ذكرنا من قبل انه فى عملية القراءة تقوم الرأس بالكشف عن انعكاسات الفيض المسجلة على القرص، حيث تتولد نبضة من التيار الكهربى فى ملف الرأس عند مرور الرأس بأى نقطة بوسط القرص يكون مسجل عليها انعكاس فيض.</w:t>
      </w:r>
    </w:p>
    <w:p w:rsidR="009A1D93" w:rsidRPr="009A1D93" w:rsidRDefault="009A1D93" w:rsidP="009A1D93">
      <w:pPr>
        <w:spacing w:line="360" w:lineRule="auto"/>
        <w:jc w:val="mediumKashida"/>
        <w:rPr>
          <w:rFonts w:ascii="Traditional Arabic" w:hAnsi="Traditional Arabic" w:cs="Traditional Arabic"/>
          <w:sz w:val="36"/>
          <w:szCs w:val="36"/>
          <w:rtl/>
        </w:rPr>
      </w:pPr>
    </w:p>
    <w:p w:rsidR="009A1D93" w:rsidRPr="009A1D93" w:rsidRDefault="009A1D93" w:rsidP="009A1D93">
      <w:pPr>
        <w:spacing w:line="360" w:lineRule="auto"/>
        <w:jc w:val="mediumKashida"/>
        <w:rPr>
          <w:rFonts w:ascii="Traditional Arabic" w:hAnsi="Traditional Arabic" w:cs="Traditional Arabic"/>
          <w:sz w:val="36"/>
          <w:szCs w:val="36"/>
        </w:rPr>
      </w:pPr>
      <w:r w:rsidRPr="009A1D93">
        <w:rPr>
          <w:rFonts w:ascii="Traditional Arabic" w:hAnsi="Traditional Arabic" w:cs="Traditional Arabic"/>
          <w:sz w:val="36"/>
          <w:szCs w:val="36"/>
          <w:rtl/>
        </w:rPr>
        <w:t>وعادة ما تكون هذه النبضات ضعيفة جدا ومصاحبة لبعض الضوضاء اى التشوهات النبضية. لذلك يحتوى حاكم المشغل على دوائر الكترونية تقوم باستخلاص هذه النبضات من الضوضاء وتكبيرها ثم فك الشفرة لاعادتها إلى بيانات مطابقة لنفس البيانات السابق تسجيلها.</w:t>
      </w:r>
      <w:bookmarkEnd w:id="0"/>
    </w:p>
    <w:sectPr w:rsidR="009A1D93" w:rsidRPr="009A1D93" w:rsidSect="009A1D93">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93"/>
    <w:rsid w:val="004E3A02"/>
    <w:rsid w:val="009A1D93"/>
    <w:rsid w:val="00CC2598"/>
    <w:rsid w:val="00EA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FD3C"/>
  <w15:chartTrackingRefBased/>
  <w15:docId w15:val="{7D84CEBD-C85F-42C0-9259-E6DE6D7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A1D93"/>
    <w:pPr>
      <w:bidi/>
      <w:spacing w:after="0" w:line="240" w:lineRule="auto"/>
    </w:pPr>
    <w:rPr>
      <w:rFonts w:eastAsiaTheme="minorEastAsia"/>
    </w:rPr>
  </w:style>
  <w:style w:type="character" w:customStyle="1" w:styleId="NoSpacingChar">
    <w:name w:val="No Spacing Char"/>
    <w:basedOn w:val="DefaultParagraphFont"/>
    <w:link w:val="NoSpacing"/>
    <w:uiPriority w:val="1"/>
    <w:rsid w:val="009A1D93"/>
    <w:rPr>
      <w:rFonts w:eastAsiaTheme="minorEastAsia"/>
    </w:rPr>
  </w:style>
  <w:style w:type="paragraph" w:styleId="BalloonText">
    <w:name w:val="Balloon Text"/>
    <w:basedOn w:val="Normal"/>
    <w:link w:val="BalloonTextChar"/>
    <w:uiPriority w:val="99"/>
    <w:semiHidden/>
    <w:unhideWhenUsed/>
    <w:rsid w:val="009A1D9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A1D9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C749513A8944C3B37A86ABF174D418"/>
        <w:category>
          <w:name w:val="عام"/>
          <w:gallery w:val="placeholder"/>
        </w:category>
        <w:types>
          <w:type w:val="bbPlcHdr"/>
        </w:types>
        <w:behaviors>
          <w:behavior w:val="content"/>
        </w:behaviors>
        <w:guid w:val="{02DFD26F-A0EF-4DAE-9C6E-67B5C0BE93CB}"/>
      </w:docPartPr>
      <w:docPartBody>
        <w:p w:rsidR="004C63BE" w:rsidRDefault="00A821EE" w:rsidP="00A821EE">
          <w:pPr>
            <w:pStyle w:val="98C749513A8944C3B37A86ABF174D418"/>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EE"/>
    <w:rsid w:val="004C63BE"/>
    <w:rsid w:val="00A821EE"/>
    <w:rsid w:val="00E63C36"/>
    <w:rsid w:val="00F22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C749513A8944C3B37A86ABF174D418">
    <w:name w:val="98C749513A8944C3B37A86ABF174D418"/>
    <w:rsid w:val="00A821EE"/>
    <w:pPr>
      <w:bidi/>
    </w:pPr>
  </w:style>
  <w:style w:type="paragraph" w:customStyle="1" w:styleId="CABA140EBEE84B39B82034DBB8D2B31D">
    <w:name w:val="CABA140EBEE84B39B82034DBB8D2B31D"/>
    <w:rsid w:val="00A821E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4519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تخزين المعلومات عن طريق الوسائط المغناطيسية</dc:title>
  <dc:subject/>
  <dc:creator>hp</dc:creator>
  <cp:keywords/>
  <dc:description/>
  <cp:lastModifiedBy>Mohammad Hammad</cp:lastModifiedBy>
  <cp:revision>2</cp:revision>
  <cp:lastPrinted>2018-11-24T17:03:00Z</cp:lastPrinted>
  <dcterms:created xsi:type="dcterms:W3CDTF">2018-11-24T17:02:00Z</dcterms:created>
  <dcterms:modified xsi:type="dcterms:W3CDTF">2019-05-29T02:12:00Z</dcterms:modified>
</cp:coreProperties>
</file>