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1FB" w:rsidRPr="003A71FB" w:rsidRDefault="003A71FB" w:rsidP="003A71FB">
      <w:pPr>
        <w:jc w:val="lowKashida"/>
        <w:rPr>
          <w:rFonts w:ascii="Traditional Arabic" w:hAnsi="Traditional Arabic" w:cs="Traditional Arabic"/>
          <w:sz w:val="32"/>
          <w:szCs w:val="32"/>
        </w:rPr>
      </w:pPr>
      <w:r w:rsidRPr="003A71FB">
        <w:rPr>
          <w:rFonts w:ascii="Traditional Arabic" w:hAnsi="Traditional Arabic" w:cs="Traditional Arabic"/>
          <w:sz w:val="32"/>
          <w:szCs w:val="32"/>
          <w:rtl/>
        </w:rPr>
        <w:t xml:space="preserve">تُسبب هشاشة العظام ضعف العظام وهشاشتها — وتكون </w:t>
      </w:r>
      <w:proofErr w:type="spellStart"/>
      <w:r w:rsidRPr="003A71FB">
        <w:rPr>
          <w:rFonts w:ascii="Traditional Arabic" w:hAnsi="Traditional Arabic" w:cs="Traditional Arabic"/>
          <w:sz w:val="32"/>
          <w:szCs w:val="32"/>
          <w:rtl/>
        </w:rPr>
        <w:t>هشّه</w:t>
      </w:r>
      <w:proofErr w:type="spellEnd"/>
      <w:r w:rsidRPr="003A71FB">
        <w:rPr>
          <w:rFonts w:ascii="Traditional Arabic" w:hAnsi="Traditional Arabic" w:cs="Traditional Arabic"/>
          <w:sz w:val="32"/>
          <w:szCs w:val="32"/>
          <w:rtl/>
        </w:rPr>
        <w:t xml:space="preserve"> لدرجة أن السقوط أو حتى الضغوطات الخفيفة مثل الانثناء أو السعال قد تؤدي إلى حدوث كسر. وتحدث الكسور المرتبطة بهشاشة العظام غالبًا في الورك والرسغ والعمود الفقري.</w:t>
      </w:r>
    </w:p>
    <w:p w:rsidR="003A71FB" w:rsidRPr="003A71FB" w:rsidRDefault="003A71FB" w:rsidP="003A71FB">
      <w:pPr>
        <w:jc w:val="lowKashida"/>
        <w:rPr>
          <w:rFonts w:ascii="Traditional Arabic" w:hAnsi="Traditional Arabic" w:cs="Traditional Arabic"/>
          <w:sz w:val="32"/>
          <w:szCs w:val="32"/>
          <w:rtl/>
        </w:rPr>
      </w:pPr>
      <w:r w:rsidRPr="003A71FB">
        <w:rPr>
          <w:rFonts w:ascii="Traditional Arabic" w:hAnsi="Traditional Arabic" w:cs="Traditional Arabic"/>
          <w:sz w:val="32"/>
          <w:szCs w:val="32"/>
          <w:rtl/>
        </w:rPr>
        <w:t>ويُعد العظم هو الأنسجة الحية التي تتحلل ويتم استبدالها باستمرار. وتحدث هشاشة العظام عند تكوين عظم جديد لا يتوافق مع إزالة العظم القديم.</w:t>
      </w:r>
    </w:p>
    <w:p w:rsidR="003A71FB" w:rsidRPr="003A71FB" w:rsidRDefault="003A71FB" w:rsidP="003A71FB">
      <w:pPr>
        <w:jc w:val="lowKashida"/>
        <w:rPr>
          <w:rFonts w:ascii="Traditional Arabic" w:hAnsi="Traditional Arabic" w:cs="Traditional Arabic"/>
          <w:sz w:val="32"/>
          <w:szCs w:val="32"/>
          <w:rtl/>
        </w:rPr>
      </w:pPr>
      <w:r w:rsidRPr="003A71FB">
        <w:rPr>
          <w:rFonts w:ascii="Traditional Arabic" w:hAnsi="Traditional Arabic" w:cs="Traditional Arabic"/>
          <w:sz w:val="32"/>
          <w:szCs w:val="32"/>
          <w:rtl/>
        </w:rPr>
        <w:t>وتؤثر هشاشة العظام في الرجال والنساء من جميع الأجناس. ولكن يزيد خطر إصابة النساء الآسيويات والبيض — خاصة السيدات الأكبر سنًا اللاتي تجاوزن سن انقطاع الطمث — بهشاشة العظام. وقد تساعد الأدوية، واتباع نظام غذائي صحي، وممارسة الرياضة التي تنطوي على حمل الأوزان في منع فقدان العظام أو تقوية العظام الضعيفة.</w:t>
      </w:r>
    </w:p>
    <w:p w:rsidR="003A71FB" w:rsidRPr="003A71FB" w:rsidRDefault="003A71FB" w:rsidP="003A71FB">
      <w:pPr>
        <w:jc w:val="lowKashida"/>
        <w:rPr>
          <w:rFonts w:ascii="Traditional Arabic" w:hAnsi="Traditional Arabic" w:cs="Traditional Arabic"/>
          <w:sz w:val="32"/>
          <w:szCs w:val="32"/>
          <w:rtl/>
        </w:rPr>
      </w:pPr>
      <w:r w:rsidRPr="003A71FB">
        <w:rPr>
          <w:rFonts w:ascii="Traditional Arabic" w:hAnsi="Traditional Arabic" w:cs="Traditional Arabic"/>
          <w:sz w:val="32"/>
          <w:szCs w:val="32"/>
          <w:rtl/>
        </w:rPr>
        <w:t>الأعراض</w:t>
      </w:r>
    </w:p>
    <w:p w:rsidR="003A71FB" w:rsidRPr="003A71FB" w:rsidRDefault="003A71FB" w:rsidP="003A71FB">
      <w:pPr>
        <w:jc w:val="lowKashida"/>
        <w:rPr>
          <w:rFonts w:ascii="Traditional Arabic" w:hAnsi="Traditional Arabic" w:cs="Traditional Arabic"/>
          <w:sz w:val="32"/>
          <w:szCs w:val="32"/>
          <w:rtl/>
        </w:rPr>
      </w:pPr>
      <w:r w:rsidRPr="003A71FB">
        <w:rPr>
          <w:rFonts w:ascii="Traditional Arabic" w:hAnsi="Traditional Arabic" w:cs="Traditional Arabic"/>
          <w:sz w:val="32"/>
          <w:szCs w:val="32"/>
          <w:rtl/>
        </w:rPr>
        <w:t>وعادة لا تظهر أي أعراض في المراحل المبكرة من فقدان العظم. ولكن فور ضعف العظام نتيجة الإصابة بالهشاشة، قد تصاب بالأعراض والعلامات المرضية والتي تشمل:</w:t>
      </w:r>
    </w:p>
    <w:p w:rsidR="003A71FB" w:rsidRPr="003A71FB" w:rsidRDefault="003A71FB" w:rsidP="003A71FB">
      <w:pPr>
        <w:numPr>
          <w:ilvl w:val="0"/>
          <w:numId w:val="1"/>
        </w:numPr>
        <w:jc w:val="lowKashida"/>
        <w:rPr>
          <w:rFonts w:ascii="Traditional Arabic" w:hAnsi="Traditional Arabic" w:cs="Traditional Arabic"/>
          <w:sz w:val="32"/>
          <w:szCs w:val="32"/>
          <w:rtl/>
        </w:rPr>
      </w:pPr>
      <w:r w:rsidRPr="003A71FB">
        <w:rPr>
          <w:rFonts w:ascii="Traditional Arabic" w:hAnsi="Traditional Arabic" w:cs="Traditional Arabic"/>
          <w:sz w:val="32"/>
          <w:szCs w:val="32"/>
          <w:rtl/>
        </w:rPr>
        <w:t>ألم الظهر نتيجة كسر الفقرات العظمية أو انهيارها</w:t>
      </w:r>
    </w:p>
    <w:p w:rsidR="003A71FB" w:rsidRPr="003A71FB" w:rsidRDefault="003A71FB" w:rsidP="003A71FB">
      <w:pPr>
        <w:numPr>
          <w:ilvl w:val="0"/>
          <w:numId w:val="1"/>
        </w:numPr>
        <w:jc w:val="lowKashida"/>
        <w:rPr>
          <w:rFonts w:ascii="Traditional Arabic" w:hAnsi="Traditional Arabic" w:cs="Traditional Arabic"/>
          <w:sz w:val="32"/>
          <w:szCs w:val="32"/>
          <w:rtl/>
        </w:rPr>
      </w:pPr>
      <w:r w:rsidRPr="003A71FB">
        <w:rPr>
          <w:rFonts w:ascii="Traditional Arabic" w:hAnsi="Traditional Arabic" w:cs="Traditional Arabic"/>
          <w:sz w:val="32"/>
          <w:szCs w:val="32"/>
          <w:rtl/>
        </w:rPr>
        <w:t>قصر القامة بمرور الوقت</w:t>
      </w:r>
    </w:p>
    <w:p w:rsidR="003A71FB" w:rsidRPr="003A71FB" w:rsidRDefault="003A71FB" w:rsidP="003A71FB">
      <w:pPr>
        <w:numPr>
          <w:ilvl w:val="0"/>
          <w:numId w:val="1"/>
        </w:numPr>
        <w:jc w:val="lowKashida"/>
        <w:rPr>
          <w:rFonts w:ascii="Traditional Arabic" w:hAnsi="Traditional Arabic" w:cs="Traditional Arabic"/>
          <w:sz w:val="32"/>
          <w:szCs w:val="32"/>
          <w:rtl/>
        </w:rPr>
      </w:pPr>
      <w:r w:rsidRPr="003A71FB">
        <w:rPr>
          <w:rFonts w:ascii="Traditional Arabic" w:hAnsi="Traditional Arabic" w:cs="Traditional Arabic"/>
          <w:sz w:val="32"/>
          <w:szCs w:val="32"/>
          <w:rtl/>
        </w:rPr>
        <w:t>انحناء الوقفة</w:t>
      </w:r>
    </w:p>
    <w:p w:rsidR="003A71FB" w:rsidRPr="003A71FB" w:rsidRDefault="003A71FB" w:rsidP="003A71FB">
      <w:pPr>
        <w:numPr>
          <w:ilvl w:val="0"/>
          <w:numId w:val="1"/>
        </w:numPr>
        <w:jc w:val="lowKashida"/>
        <w:rPr>
          <w:rFonts w:ascii="Traditional Arabic" w:hAnsi="Traditional Arabic" w:cs="Traditional Arabic"/>
          <w:sz w:val="32"/>
          <w:szCs w:val="32"/>
          <w:rtl/>
        </w:rPr>
      </w:pPr>
      <w:r w:rsidRPr="003A71FB">
        <w:rPr>
          <w:rFonts w:ascii="Traditional Arabic" w:hAnsi="Traditional Arabic" w:cs="Traditional Arabic"/>
          <w:sz w:val="32"/>
          <w:szCs w:val="32"/>
          <w:rtl/>
        </w:rPr>
        <w:t>سهولة الإصابة بكسور العظام عن المعدل المتوقع</w:t>
      </w:r>
    </w:p>
    <w:p w:rsidR="003A71FB" w:rsidRPr="003A71FB" w:rsidRDefault="003A71FB" w:rsidP="003A71FB">
      <w:pPr>
        <w:jc w:val="lowKashida"/>
        <w:rPr>
          <w:rFonts w:ascii="Traditional Arabic" w:hAnsi="Traditional Arabic" w:cs="Traditional Arabic"/>
          <w:b/>
          <w:bCs/>
          <w:sz w:val="32"/>
          <w:szCs w:val="32"/>
          <w:rtl/>
        </w:rPr>
      </w:pPr>
      <w:r w:rsidRPr="003A71FB">
        <w:rPr>
          <w:rFonts w:ascii="Traditional Arabic" w:hAnsi="Traditional Arabic" w:cs="Traditional Arabic"/>
          <w:b/>
          <w:bCs/>
          <w:sz w:val="32"/>
          <w:szCs w:val="32"/>
          <w:rtl/>
        </w:rPr>
        <w:t>متى تزور الطبيب</w:t>
      </w:r>
    </w:p>
    <w:p w:rsidR="003A71FB" w:rsidRDefault="003A71FB" w:rsidP="003A71FB">
      <w:pPr>
        <w:jc w:val="lowKashida"/>
        <w:rPr>
          <w:rFonts w:ascii="Traditional Arabic" w:hAnsi="Traditional Arabic" w:cs="Traditional Arabic"/>
          <w:sz w:val="32"/>
          <w:szCs w:val="32"/>
          <w:rtl/>
        </w:rPr>
      </w:pPr>
      <w:r w:rsidRPr="003A71FB">
        <w:rPr>
          <w:rFonts w:ascii="Traditional Arabic" w:hAnsi="Traditional Arabic" w:cs="Traditional Arabic"/>
          <w:sz w:val="32"/>
          <w:szCs w:val="32"/>
          <w:rtl/>
        </w:rPr>
        <w:t xml:space="preserve">قد ترغب في الحديث مع الطبيب عن هشاشة العظام، إذا دخلت في فترة انقطاع الطمث مبكرًا أو تناولت </w:t>
      </w:r>
      <w:proofErr w:type="spellStart"/>
      <w:r w:rsidRPr="003A71FB">
        <w:rPr>
          <w:rFonts w:ascii="Traditional Arabic" w:hAnsi="Traditional Arabic" w:cs="Traditional Arabic"/>
          <w:sz w:val="32"/>
          <w:szCs w:val="32"/>
          <w:rtl/>
        </w:rPr>
        <w:t>الكورتيكوستيرويد</w:t>
      </w:r>
      <w:proofErr w:type="spellEnd"/>
      <w:r w:rsidRPr="003A71FB">
        <w:rPr>
          <w:rFonts w:ascii="Traditional Arabic" w:hAnsi="Traditional Arabic" w:cs="Traditional Arabic"/>
          <w:sz w:val="32"/>
          <w:szCs w:val="32"/>
          <w:rtl/>
        </w:rPr>
        <w:t xml:space="preserve"> لعدة أشهر، أو إذا أصيب أحد والديك بكسور في الورك.</w:t>
      </w:r>
    </w:p>
    <w:p w:rsidR="003A71FB" w:rsidRDefault="003A71FB" w:rsidP="003A71FB">
      <w:pPr>
        <w:jc w:val="lowKashida"/>
        <w:rPr>
          <w:rFonts w:ascii="Traditional Arabic" w:hAnsi="Traditional Arabic" w:cs="Traditional Arabic"/>
          <w:sz w:val="32"/>
          <w:szCs w:val="32"/>
          <w:rtl/>
        </w:rPr>
      </w:pPr>
    </w:p>
    <w:p w:rsidR="003A71FB" w:rsidRDefault="003A71FB" w:rsidP="003A71FB">
      <w:pPr>
        <w:jc w:val="lowKashida"/>
        <w:rPr>
          <w:rFonts w:ascii="Traditional Arabic" w:hAnsi="Traditional Arabic" w:cs="Traditional Arabic"/>
          <w:sz w:val="32"/>
          <w:szCs w:val="32"/>
          <w:rtl/>
        </w:rPr>
      </w:pPr>
    </w:p>
    <w:p w:rsidR="003A71FB" w:rsidRPr="003A71FB" w:rsidRDefault="003A71FB" w:rsidP="003A71FB">
      <w:pPr>
        <w:jc w:val="lowKashida"/>
        <w:rPr>
          <w:rFonts w:ascii="Traditional Arabic" w:hAnsi="Traditional Arabic" w:cs="Traditional Arabic"/>
          <w:sz w:val="32"/>
          <w:szCs w:val="32"/>
          <w:rtl/>
        </w:rPr>
      </w:pPr>
    </w:p>
    <w:p w:rsidR="003A71FB" w:rsidRPr="003A71FB" w:rsidRDefault="003A71FB" w:rsidP="003A71FB">
      <w:pPr>
        <w:jc w:val="lowKashida"/>
        <w:rPr>
          <w:rFonts w:ascii="Traditional Arabic" w:hAnsi="Traditional Arabic" w:cs="Traditional Arabic"/>
          <w:b/>
          <w:bCs/>
          <w:sz w:val="32"/>
          <w:szCs w:val="32"/>
          <w:rtl/>
        </w:rPr>
      </w:pPr>
      <w:r w:rsidRPr="003A71FB">
        <w:rPr>
          <w:rFonts w:ascii="Traditional Arabic" w:hAnsi="Traditional Arabic" w:cs="Traditional Arabic"/>
          <w:b/>
          <w:bCs/>
          <w:sz w:val="32"/>
          <w:szCs w:val="32"/>
          <w:rtl/>
        </w:rPr>
        <w:lastRenderedPageBreak/>
        <w:t>هشاشة العظام تضعف العظم</w:t>
      </w:r>
    </w:p>
    <w:p w:rsidR="003A71FB" w:rsidRPr="003A71FB" w:rsidRDefault="003A71FB" w:rsidP="003A71FB">
      <w:pPr>
        <w:jc w:val="lowKashida"/>
        <w:rPr>
          <w:rFonts w:ascii="Traditional Arabic" w:hAnsi="Traditional Arabic" w:cs="Traditional Arabic"/>
          <w:sz w:val="32"/>
          <w:szCs w:val="32"/>
          <w:rtl/>
        </w:rPr>
      </w:pPr>
      <w:r w:rsidRPr="003A71FB">
        <w:rPr>
          <w:rFonts w:ascii="Traditional Arabic" w:hAnsi="Traditional Arabic" w:cs="Traditional Arabic"/>
          <w:sz w:val="32"/>
          <w:szCs w:val="32"/>
          <w:rtl/>
        </w:rPr>
        <w:t>عظامك في حالة تجديد ثابتة — بحيث يتم تكوين عظام جديدة والتخلص من العظام القديمة. عندما تكون شابًا، يُكون جسمك العظام الجديدة أسرع من تكسير العظام القديمة كما تزداد كتلة العظام لديك. يصل معظم الأشخاص إلى ذروة الكتلة العظمية لديهم في أوائل الـ 20 من عمرهم. مع التقدم في العمر، يتم فقدان الكتلة العظمية بمعدل أسرع من تكونها.</w:t>
      </w:r>
    </w:p>
    <w:p w:rsidR="003A71FB" w:rsidRPr="003A71FB" w:rsidRDefault="003A71FB" w:rsidP="003A71FB">
      <w:pPr>
        <w:jc w:val="lowKashida"/>
        <w:rPr>
          <w:rFonts w:ascii="Traditional Arabic" w:hAnsi="Traditional Arabic" w:cs="Traditional Arabic"/>
          <w:sz w:val="32"/>
          <w:szCs w:val="32"/>
          <w:rtl/>
        </w:rPr>
      </w:pPr>
      <w:r w:rsidRPr="003A71FB">
        <w:rPr>
          <w:rFonts w:ascii="Traditional Arabic" w:hAnsi="Traditional Arabic" w:cs="Traditional Arabic"/>
          <w:sz w:val="32"/>
          <w:szCs w:val="32"/>
          <w:rtl/>
        </w:rPr>
        <w:t>يعتمد مدى تعرضك للإصابة بهشاشة العظام جزئيًا على مقدار الكتلة العظمية المكتسبة في مرحلة الشباب. كلما ارتفعت ذروة الكتلة العظمية، زاد مخزون العظام، وقل احتمال إصابة التعرض إلى هشاشة العظام عند التقدم في العمر.</w:t>
      </w:r>
    </w:p>
    <w:p w:rsidR="003A71FB" w:rsidRPr="003A71FB" w:rsidRDefault="003A71FB" w:rsidP="003A71FB">
      <w:pPr>
        <w:jc w:val="lowKashida"/>
        <w:rPr>
          <w:rFonts w:ascii="Traditional Arabic" w:hAnsi="Traditional Arabic" w:cs="Traditional Arabic"/>
          <w:sz w:val="32"/>
          <w:szCs w:val="32"/>
          <w:rtl/>
        </w:rPr>
      </w:pPr>
      <w:r w:rsidRPr="003A71FB">
        <w:rPr>
          <w:rFonts w:ascii="Traditional Arabic" w:hAnsi="Traditional Arabic" w:cs="Traditional Arabic"/>
          <w:sz w:val="32"/>
          <w:szCs w:val="32"/>
          <w:rtl/>
        </w:rPr>
        <w:t>عوامل الخطر</w:t>
      </w:r>
    </w:p>
    <w:p w:rsidR="003A71FB" w:rsidRPr="003A71FB" w:rsidRDefault="003A71FB" w:rsidP="003A71FB">
      <w:pPr>
        <w:jc w:val="lowKashida"/>
        <w:rPr>
          <w:rFonts w:ascii="Traditional Arabic" w:hAnsi="Traditional Arabic" w:cs="Traditional Arabic"/>
          <w:sz w:val="32"/>
          <w:szCs w:val="32"/>
          <w:rtl/>
        </w:rPr>
      </w:pPr>
      <w:r w:rsidRPr="003A71FB">
        <w:rPr>
          <w:rFonts w:ascii="Traditional Arabic" w:hAnsi="Traditional Arabic" w:cs="Traditional Arabic"/>
          <w:sz w:val="32"/>
          <w:szCs w:val="32"/>
          <w:rtl/>
        </w:rPr>
        <w:t>هناك عدد من العوامل التي يمكنها زيادة احتمالية تطور مرض هشاشة العظام لديك — بما في ذلك عمرك وعرقك وخيارات نمط الحياة التي تتبعها والظروف الطبية والعلاجات.</w:t>
      </w:r>
    </w:p>
    <w:p w:rsidR="003A71FB" w:rsidRPr="003A71FB" w:rsidRDefault="003A71FB" w:rsidP="003A71FB">
      <w:pPr>
        <w:jc w:val="lowKashida"/>
        <w:rPr>
          <w:rFonts w:ascii="Traditional Arabic" w:hAnsi="Traditional Arabic" w:cs="Traditional Arabic"/>
          <w:b/>
          <w:bCs/>
          <w:sz w:val="32"/>
          <w:szCs w:val="32"/>
          <w:rtl/>
        </w:rPr>
      </w:pPr>
      <w:r w:rsidRPr="003A71FB">
        <w:rPr>
          <w:rFonts w:ascii="Traditional Arabic" w:hAnsi="Traditional Arabic" w:cs="Traditional Arabic"/>
          <w:b/>
          <w:bCs/>
          <w:sz w:val="32"/>
          <w:szCs w:val="32"/>
          <w:rtl/>
        </w:rPr>
        <w:t>مخاطر غير قابلة للتغيير</w:t>
      </w:r>
    </w:p>
    <w:p w:rsidR="003A71FB" w:rsidRPr="003A71FB" w:rsidRDefault="003A71FB" w:rsidP="003A71FB">
      <w:pPr>
        <w:jc w:val="lowKashida"/>
        <w:rPr>
          <w:rFonts w:ascii="Traditional Arabic" w:hAnsi="Traditional Arabic" w:cs="Traditional Arabic"/>
          <w:sz w:val="32"/>
          <w:szCs w:val="32"/>
          <w:rtl/>
        </w:rPr>
      </w:pPr>
      <w:r w:rsidRPr="003A71FB">
        <w:rPr>
          <w:rFonts w:ascii="Traditional Arabic" w:hAnsi="Traditional Arabic" w:cs="Traditional Arabic"/>
          <w:sz w:val="32"/>
          <w:szCs w:val="32"/>
          <w:rtl/>
        </w:rPr>
        <w:t>تعتبر بعض عوامل الخطر الإصابة بهشاشة العظام خارجة عن سيطرتك، بما في ذلك:</w:t>
      </w:r>
    </w:p>
    <w:p w:rsidR="003A71FB" w:rsidRPr="003A71FB" w:rsidRDefault="003A71FB" w:rsidP="003A71FB">
      <w:pPr>
        <w:numPr>
          <w:ilvl w:val="0"/>
          <w:numId w:val="3"/>
        </w:numPr>
        <w:jc w:val="lowKashida"/>
        <w:rPr>
          <w:rFonts w:ascii="Traditional Arabic" w:hAnsi="Traditional Arabic" w:cs="Traditional Arabic"/>
          <w:sz w:val="32"/>
          <w:szCs w:val="32"/>
          <w:rtl/>
        </w:rPr>
      </w:pPr>
      <w:r w:rsidRPr="003A71FB">
        <w:rPr>
          <w:rFonts w:ascii="Traditional Arabic" w:hAnsi="Traditional Arabic" w:cs="Traditional Arabic"/>
          <w:b/>
          <w:bCs/>
          <w:sz w:val="32"/>
          <w:szCs w:val="32"/>
          <w:rtl/>
        </w:rPr>
        <w:t>جنسك.</w:t>
      </w:r>
      <w:r w:rsidRPr="003A71FB">
        <w:rPr>
          <w:rFonts w:ascii="Traditional Arabic" w:hAnsi="Traditional Arabic" w:cs="Traditional Arabic"/>
          <w:sz w:val="32"/>
          <w:szCs w:val="32"/>
          <w:rtl/>
        </w:rPr>
        <w:t> تعد النساء أكثر عرضة بكثير للإصابة بهشاشة العظام من الرجال.</w:t>
      </w:r>
    </w:p>
    <w:p w:rsidR="003A71FB" w:rsidRPr="003A71FB" w:rsidRDefault="003A71FB" w:rsidP="003A71FB">
      <w:pPr>
        <w:numPr>
          <w:ilvl w:val="0"/>
          <w:numId w:val="3"/>
        </w:numPr>
        <w:jc w:val="lowKashida"/>
        <w:rPr>
          <w:rFonts w:ascii="Traditional Arabic" w:hAnsi="Traditional Arabic" w:cs="Traditional Arabic"/>
          <w:sz w:val="32"/>
          <w:szCs w:val="32"/>
          <w:rtl/>
        </w:rPr>
      </w:pPr>
      <w:r w:rsidRPr="003A71FB">
        <w:rPr>
          <w:rFonts w:ascii="Traditional Arabic" w:hAnsi="Traditional Arabic" w:cs="Traditional Arabic"/>
          <w:b/>
          <w:bCs/>
          <w:sz w:val="32"/>
          <w:szCs w:val="32"/>
          <w:rtl/>
        </w:rPr>
        <w:t>العمر.</w:t>
      </w:r>
      <w:r w:rsidRPr="003A71FB">
        <w:rPr>
          <w:rFonts w:ascii="Traditional Arabic" w:hAnsi="Traditional Arabic" w:cs="Traditional Arabic"/>
          <w:sz w:val="32"/>
          <w:szCs w:val="32"/>
          <w:rtl/>
        </w:rPr>
        <w:t> كلما تقدمت في العمر، زاد خطر إصابتك بهشاشة العظام.</w:t>
      </w:r>
    </w:p>
    <w:p w:rsidR="003A71FB" w:rsidRPr="003A71FB" w:rsidRDefault="003A71FB" w:rsidP="003A71FB">
      <w:pPr>
        <w:numPr>
          <w:ilvl w:val="0"/>
          <w:numId w:val="3"/>
        </w:numPr>
        <w:jc w:val="lowKashida"/>
        <w:rPr>
          <w:rFonts w:ascii="Traditional Arabic" w:hAnsi="Traditional Arabic" w:cs="Traditional Arabic"/>
          <w:sz w:val="32"/>
          <w:szCs w:val="32"/>
          <w:rtl/>
        </w:rPr>
      </w:pPr>
      <w:r w:rsidRPr="003A71FB">
        <w:rPr>
          <w:rFonts w:ascii="Traditional Arabic" w:hAnsi="Traditional Arabic" w:cs="Traditional Arabic"/>
          <w:b/>
          <w:bCs/>
          <w:sz w:val="32"/>
          <w:szCs w:val="32"/>
          <w:rtl/>
        </w:rPr>
        <w:t>العِرق.</w:t>
      </w:r>
      <w:r w:rsidRPr="003A71FB">
        <w:rPr>
          <w:rFonts w:ascii="Traditional Arabic" w:hAnsi="Traditional Arabic" w:cs="Traditional Arabic"/>
          <w:sz w:val="32"/>
          <w:szCs w:val="32"/>
          <w:rtl/>
        </w:rPr>
        <w:t> يزيد خطر إصابتك بهشاشة العظام إذا كنت من ذوي البشرة البيضاء أو من أصل آسيوي.</w:t>
      </w:r>
    </w:p>
    <w:p w:rsidR="003A71FB" w:rsidRPr="003A71FB" w:rsidRDefault="003A71FB" w:rsidP="003A71FB">
      <w:pPr>
        <w:numPr>
          <w:ilvl w:val="0"/>
          <w:numId w:val="3"/>
        </w:numPr>
        <w:jc w:val="lowKashida"/>
        <w:rPr>
          <w:rFonts w:ascii="Traditional Arabic" w:hAnsi="Traditional Arabic" w:cs="Traditional Arabic"/>
          <w:sz w:val="32"/>
          <w:szCs w:val="32"/>
          <w:rtl/>
        </w:rPr>
      </w:pPr>
      <w:r w:rsidRPr="003A71FB">
        <w:rPr>
          <w:rFonts w:ascii="Traditional Arabic" w:hAnsi="Traditional Arabic" w:cs="Traditional Arabic"/>
          <w:b/>
          <w:bCs/>
          <w:sz w:val="32"/>
          <w:szCs w:val="32"/>
          <w:rtl/>
        </w:rPr>
        <w:t>التاريخ العائلي.</w:t>
      </w:r>
      <w:r w:rsidRPr="003A71FB">
        <w:rPr>
          <w:rFonts w:ascii="Traditional Arabic" w:hAnsi="Traditional Arabic" w:cs="Traditional Arabic"/>
          <w:sz w:val="32"/>
          <w:szCs w:val="32"/>
          <w:rtl/>
        </w:rPr>
        <w:t> تزيد إصابة أحد والديك أو أحد أشقائك بهشاشة العظام من خطر إصابتك، خاصةً إذا تعرضت والدتك أو والدك لكسر بالورك.</w:t>
      </w:r>
    </w:p>
    <w:p w:rsidR="003A71FB" w:rsidRDefault="003A71FB" w:rsidP="003A71FB">
      <w:pPr>
        <w:numPr>
          <w:ilvl w:val="0"/>
          <w:numId w:val="3"/>
        </w:numPr>
        <w:jc w:val="lowKashida"/>
        <w:rPr>
          <w:rFonts w:ascii="Traditional Arabic" w:hAnsi="Traditional Arabic" w:cs="Traditional Arabic"/>
          <w:sz w:val="32"/>
          <w:szCs w:val="32"/>
        </w:rPr>
      </w:pPr>
      <w:r w:rsidRPr="003A71FB">
        <w:rPr>
          <w:rFonts w:ascii="Traditional Arabic" w:hAnsi="Traditional Arabic" w:cs="Traditional Arabic"/>
          <w:b/>
          <w:bCs/>
          <w:sz w:val="32"/>
          <w:szCs w:val="32"/>
          <w:rtl/>
        </w:rPr>
        <w:t>حجم هيكل الجسم.</w:t>
      </w:r>
      <w:r w:rsidRPr="003A71FB">
        <w:rPr>
          <w:rFonts w:ascii="Traditional Arabic" w:hAnsi="Traditional Arabic" w:cs="Traditional Arabic"/>
          <w:sz w:val="32"/>
          <w:szCs w:val="32"/>
          <w:rtl/>
        </w:rPr>
        <w:t> يميل الرجال والنساء الذين تتسم هياكل أجسامهم بأنها صغيرة إلى أن يكونوا أكثر عرضة لخطر الإصابة؛ لأنه قد تكون الكتلة العظمية لديهم أقل من أن يتم السحب منها لاستخدامها خلال تقدمهم في العمر.</w:t>
      </w:r>
    </w:p>
    <w:p w:rsidR="003A71FB" w:rsidRPr="003A71FB" w:rsidRDefault="003A71FB" w:rsidP="003A71FB">
      <w:pPr>
        <w:jc w:val="lowKashida"/>
        <w:rPr>
          <w:rFonts w:ascii="Traditional Arabic" w:hAnsi="Traditional Arabic" w:cs="Traditional Arabic"/>
          <w:sz w:val="32"/>
          <w:szCs w:val="32"/>
          <w:rtl/>
        </w:rPr>
      </w:pPr>
      <w:bookmarkStart w:id="0" w:name="_GoBack"/>
      <w:bookmarkEnd w:id="0"/>
    </w:p>
    <w:p w:rsidR="003A71FB" w:rsidRPr="003A71FB" w:rsidRDefault="003A71FB" w:rsidP="003A71FB">
      <w:pPr>
        <w:jc w:val="lowKashida"/>
        <w:rPr>
          <w:rFonts w:ascii="Traditional Arabic" w:hAnsi="Traditional Arabic" w:cs="Traditional Arabic"/>
          <w:b/>
          <w:bCs/>
          <w:sz w:val="32"/>
          <w:szCs w:val="32"/>
          <w:rtl/>
        </w:rPr>
      </w:pPr>
      <w:r w:rsidRPr="003A71FB">
        <w:rPr>
          <w:rFonts w:ascii="Traditional Arabic" w:hAnsi="Traditional Arabic" w:cs="Traditional Arabic"/>
          <w:b/>
          <w:bCs/>
          <w:sz w:val="32"/>
          <w:szCs w:val="32"/>
          <w:rtl/>
        </w:rPr>
        <w:t>مستويات الهرمونات</w:t>
      </w:r>
    </w:p>
    <w:p w:rsidR="003A71FB" w:rsidRPr="003A71FB" w:rsidRDefault="003A71FB" w:rsidP="003A71FB">
      <w:pPr>
        <w:jc w:val="lowKashida"/>
        <w:rPr>
          <w:rFonts w:ascii="Traditional Arabic" w:hAnsi="Traditional Arabic" w:cs="Traditional Arabic"/>
          <w:sz w:val="32"/>
          <w:szCs w:val="32"/>
          <w:rtl/>
        </w:rPr>
      </w:pPr>
      <w:r w:rsidRPr="003A71FB">
        <w:rPr>
          <w:rFonts w:ascii="Traditional Arabic" w:hAnsi="Traditional Arabic" w:cs="Traditional Arabic"/>
          <w:sz w:val="32"/>
          <w:szCs w:val="32"/>
          <w:rtl/>
        </w:rPr>
        <w:t>وتعتبر هشاشة العظام أكثر شيوعًا في الأشخاص ممن لديهم هرمونات معينة أكثر أو أقل مما ينبغي في أجسادهم. تتضمن الأمثلة:</w:t>
      </w:r>
    </w:p>
    <w:p w:rsidR="003A71FB" w:rsidRPr="003A71FB" w:rsidRDefault="003A71FB" w:rsidP="003A71FB">
      <w:pPr>
        <w:numPr>
          <w:ilvl w:val="0"/>
          <w:numId w:val="4"/>
        </w:numPr>
        <w:jc w:val="lowKashida"/>
        <w:rPr>
          <w:rFonts w:ascii="Traditional Arabic" w:hAnsi="Traditional Arabic" w:cs="Traditional Arabic"/>
          <w:sz w:val="32"/>
          <w:szCs w:val="32"/>
          <w:rtl/>
        </w:rPr>
      </w:pPr>
      <w:r w:rsidRPr="003A71FB">
        <w:rPr>
          <w:rFonts w:ascii="Traditional Arabic" w:hAnsi="Traditional Arabic" w:cs="Traditional Arabic"/>
          <w:b/>
          <w:bCs/>
          <w:sz w:val="32"/>
          <w:szCs w:val="32"/>
          <w:rtl/>
        </w:rPr>
        <w:t>هرمونات جنسية.</w:t>
      </w:r>
      <w:r w:rsidRPr="003A71FB">
        <w:rPr>
          <w:rFonts w:ascii="Traditional Arabic" w:hAnsi="Traditional Arabic" w:cs="Traditional Arabic"/>
          <w:sz w:val="32"/>
          <w:szCs w:val="32"/>
          <w:rtl/>
        </w:rPr>
        <w:t xml:space="preserve"> يميل انخفاض مستويات هرمون الجنس إلى إضعاف العظام. يعتبر انخفاض مستويات هرمون </w:t>
      </w:r>
      <w:proofErr w:type="spellStart"/>
      <w:r w:rsidRPr="003A71FB">
        <w:rPr>
          <w:rFonts w:ascii="Traditional Arabic" w:hAnsi="Traditional Arabic" w:cs="Traditional Arabic"/>
          <w:sz w:val="32"/>
          <w:szCs w:val="32"/>
          <w:rtl/>
        </w:rPr>
        <w:t>الإستروجين</w:t>
      </w:r>
      <w:proofErr w:type="spellEnd"/>
      <w:r w:rsidRPr="003A71FB">
        <w:rPr>
          <w:rFonts w:ascii="Traditional Arabic" w:hAnsi="Traditional Arabic" w:cs="Traditional Arabic"/>
          <w:sz w:val="32"/>
          <w:szCs w:val="32"/>
          <w:rtl/>
        </w:rPr>
        <w:t xml:space="preserve"> لدى النساء في سن اليأس أحد أقوى عوامل خطر تطور الإصابة بهشاشة العظام. يتعرض الرجال إلى انخفاض تدريجي في مستويات هرمون التستوستيرون مع تقدمهم في العمر. يُحتمل أن تسرع علاجات سرطان البروستاتا التي تقلل من مستويات هرمون التستوستيرون في الرجال وعلاجات سرطان الثدي التي تقلل من مستويات هرمون </w:t>
      </w:r>
      <w:proofErr w:type="spellStart"/>
      <w:r w:rsidRPr="003A71FB">
        <w:rPr>
          <w:rFonts w:ascii="Traditional Arabic" w:hAnsi="Traditional Arabic" w:cs="Traditional Arabic"/>
          <w:sz w:val="32"/>
          <w:szCs w:val="32"/>
          <w:rtl/>
        </w:rPr>
        <w:t>الإستروجين</w:t>
      </w:r>
      <w:proofErr w:type="spellEnd"/>
      <w:r w:rsidRPr="003A71FB">
        <w:rPr>
          <w:rFonts w:ascii="Traditional Arabic" w:hAnsi="Traditional Arabic" w:cs="Traditional Arabic"/>
          <w:sz w:val="32"/>
          <w:szCs w:val="32"/>
          <w:rtl/>
        </w:rPr>
        <w:t xml:space="preserve"> في النساء من فقدان العظم.</w:t>
      </w:r>
    </w:p>
    <w:p w:rsidR="003A71FB" w:rsidRPr="003A71FB" w:rsidRDefault="003A71FB" w:rsidP="003A71FB">
      <w:pPr>
        <w:numPr>
          <w:ilvl w:val="0"/>
          <w:numId w:val="4"/>
        </w:numPr>
        <w:jc w:val="lowKashida"/>
        <w:rPr>
          <w:rFonts w:ascii="Traditional Arabic" w:hAnsi="Traditional Arabic" w:cs="Traditional Arabic"/>
          <w:sz w:val="32"/>
          <w:szCs w:val="32"/>
          <w:rtl/>
        </w:rPr>
      </w:pPr>
      <w:r w:rsidRPr="003A71FB">
        <w:rPr>
          <w:rFonts w:ascii="Traditional Arabic" w:hAnsi="Traditional Arabic" w:cs="Traditional Arabic"/>
          <w:b/>
          <w:bCs/>
          <w:sz w:val="32"/>
          <w:szCs w:val="32"/>
          <w:rtl/>
        </w:rPr>
        <w:t>مشاكل الغدة الدرقية.</w:t>
      </w:r>
      <w:r w:rsidRPr="003A71FB">
        <w:rPr>
          <w:rFonts w:ascii="Traditional Arabic" w:hAnsi="Traditional Arabic" w:cs="Traditional Arabic"/>
          <w:sz w:val="32"/>
          <w:szCs w:val="32"/>
          <w:rtl/>
        </w:rPr>
        <w:t> يمكن أن يسبب الكثير من هرمون الغدة الدرقية فقدان العظم. يمكن أن يحدث هذا إذا كانت الغدة الدرقية لديك مفرطة النشاط أو إذا كنت تتناول الكثير من أدوية هرمون الغدة الدرقية لعلاج خمول الغدة.</w:t>
      </w:r>
    </w:p>
    <w:p w:rsidR="003A71FB" w:rsidRPr="003A71FB" w:rsidRDefault="003A71FB" w:rsidP="003A71FB">
      <w:pPr>
        <w:numPr>
          <w:ilvl w:val="0"/>
          <w:numId w:val="4"/>
        </w:numPr>
        <w:jc w:val="lowKashida"/>
        <w:rPr>
          <w:rFonts w:ascii="Traditional Arabic" w:hAnsi="Traditional Arabic" w:cs="Traditional Arabic"/>
          <w:sz w:val="32"/>
          <w:szCs w:val="32"/>
          <w:rtl/>
        </w:rPr>
      </w:pPr>
      <w:r w:rsidRPr="003A71FB">
        <w:rPr>
          <w:rFonts w:ascii="Traditional Arabic" w:hAnsi="Traditional Arabic" w:cs="Traditional Arabic"/>
          <w:b/>
          <w:bCs/>
          <w:sz w:val="32"/>
          <w:szCs w:val="32"/>
          <w:rtl/>
        </w:rPr>
        <w:t>الغدد الأخرى.</w:t>
      </w:r>
      <w:r w:rsidRPr="003A71FB">
        <w:rPr>
          <w:rFonts w:ascii="Traditional Arabic" w:hAnsi="Traditional Arabic" w:cs="Traditional Arabic"/>
          <w:sz w:val="32"/>
          <w:szCs w:val="32"/>
          <w:rtl/>
        </w:rPr>
        <w:t> ترتبط الإصابة بهشاشة العظام كذلك بفرط نشاط الغدة الدرقية والغدد الكظرية.</w:t>
      </w:r>
    </w:p>
    <w:p w:rsidR="003A71FB" w:rsidRPr="003A71FB" w:rsidRDefault="003A71FB" w:rsidP="003A71FB">
      <w:pPr>
        <w:jc w:val="lowKashida"/>
        <w:rPr>
          <w:rFonts w:ascii="Traditional Arabic" w:hAnsi="Traditional Arabic" w:cs="Traditional Arabic"/>
          <w:b/>
          <w:bCs/>
          <w:sz w:val="32"/>
          <w:szCs w:val="32"/>
          <w:rtl/>
        </w:rPr>
      </w:pPr>
      <w:r w:rsidRPr="003A71FB">
        <w:rPr>
          <w:rFonts w:ascii="Traditional Arabic" w:hAnsi="Traditional Arabic" w:cs="Traditional Arabic"/>
          <w:b/>
          <w:bCs/>
          <w:sz w:val="32"/>
          <w:szCs w:val="32"/>
          <w:rtl/>
        </w:rPr>
        <w:t>العوامل الغذائية</w:t>
      </w:r>
    </w:p>
    <w:p w:rsidR="003A71FB" w:rsidRPr="003A71FB" w:rsidRDefault="003A71FB" w:rsidP="003A71FB">
      <w:pPr>
        <w:jc w:val="lowKashida"/>
        <w:rPr>
          <w:rFonts w:ascii="Traditional Arabic" w:hAnsi="Traditional Arabic" w:cs="Traditional Arabic"/>
          <w:sz w:val="32"/>
          <w:szCs w:val="32"/>
          <w:rtl/>
        </w:rPr>
      </w:pPr>
      <w:r w:rsidRPr="003A71FB">
        <w:rPr>
          <w:rFonts w:ascii="Traditional Arabic" w:hAnsi="Traditional Arabic" w:cs="Traditional Arabic"/>
          <w:sz w:val="32"/>
          <w:szCs w:val="32"/>
          <w:rtl/>
        </w:rPr>
        <w:t>وتكون الإصابة بهشاشة العظام أكثر احتمالاً في الأشخاص الذين يعانوا الآتي:</w:t>
      </w:r>
    </w:p>
    <w:p w:rsidR="003A71FB" w:rsidRPr="003A71FB" w:rsidRDefault="003A71FB" w:rsidP="003A71FB">
      <w:pPr>
        <w:numPr>
          <w:ilvl w:val="0"/>
          <w:numId w:val="5"/>
        </w:numPr>
        <w:jc w:val="lowKashida"/>
        <w:rPr>
          <w:rFonts w:ascii="Traditional Arabic" w:hAnsi="Traditional Arabic" w:cs="Traditional Arabic"/>
          <w:sz w:val="32"/>
          <w:szCs w:val="32"/>
          <w:rtl/>
        </w:rPr>
      </w:pPr>
      <w:r w:rsidRPr="003A71FB">
        <w:rPr>
          <w:rFonts w:ascii="Traditional Arabic" w:hAnsi="Traditional Arabic" w:cs="Traditional Arabic"/>
          <w:b/>
          <w:bCs/>
          <w:sz w:val="32"/>
          <w:szCs w:val="32"/>
          <w:rtl/>
        </w:rPr>
        <w:t>انخفاض كمية ما يحصلون عليه من الكالسيوم.</w:t>
      </w:r>
      <w:r w:rsidRPr="003A71FB">
        <w:rPr>
          <w:rFonts w:ascii="Traditional Arabic" w:hAnsi="Traditional Arabic" w:cs="Traditional Arabic"/>
          <w:sz w:val="32"/>
          <w:szCs w:val="32"/>
          <w:rtl/>
        </w:rPr>
        <w:t> يلعب نقص الكالسيوم لديهم طوال حياتهم دورًا في تطور مرض هشاشة العظام. يُسهم انخفاض كمية الكالسيوم في تقلص كثافة العظام وفقدان العظم وزيادة خطر التعرض للإصابة بالكسور في مرحلة مبكرة.</w:t>
      </w:r>
    </w:p>
    <w:p w:rsidR="003A71FB" w:rsidRPr="003A71FB" w:rsidRDefault="003A71FB" w:rsidP="003A71FB">
      <w:pPr>
        <w:numPr>
          <w:ilvl w:val="0"/>
          <w:numId w:val="5"/>
        </w:numPr>
        <w:jc w:val="lowKashida"/>
        <w:rPr>
          <w:rFonts w:ascii="Traditional Arabic" w:hAnsi="Traditional Arabic" w:cs="Traditional Arabic"/>
          <w:sz w:val="32"/>
          <w:szCs w:val="32"/>
          <w:rtl/>
        </w:rPr>
      </w:pPr>
      <w:r w:rsidRPr="003A71FB">
        <w:rPr>
          <w:rFonts w:ascii="Traditional Arabic" w:hAnsi="Traditional Arabic" w:cs="Traditional Arabic"/>
          <w:b/>
          <w:bCs/>
          <w:sz w:val="32"/>
          <w:szCs w:val="32"/>
          <w:rtl/>
        </w:rPr>
        <w:t>اضطرابات الأكل.</w:t>
      </w:r>
      <w:r w:rsidRPr="003A71FB">
        <w:rPr>
          <w:rFonts w:ascii="Traditional Arabic" w:hAnsi="Traditional Arabic" w:cs="Traditional Arabic"/>
          <w:sz w:val="32"/>
          <w:szCs w:val="32"/>
          <w:rtl/>
        </w:rPr>
        <w:t> يؤدي تقييد كميات تناول بعض الأطعمة بشدة ونقص الوزن الشديد إلى إضعاف العظام لدى الرجال والنساء على حد سواء.</w:t>
      </w:r>
    </w:p>
    <w:p w:rsidR="003A71FB" w:rsidRPr="003A71FB" w:rsidRDefault="003A71FB" w:rsidP="003A71FB">
      <w:pPr>
        <w:numPr>
          <w:ilvl w:val="0"/>
          <w:numId w:val="5"/>
        </w:numPr>
        <w:jc w:val="lowKashida"/>
        <w:rPr>
          <w:rFonts w:ascii="Traditional Arabic" w:hAnsi="Traditional Arabic" w:cs="Traditional Arabic"/>
          <w:sz w:val="32"/>
          <w:szCs w:val="32"/>
          <w:rtl/>
        </w:rPr>
      </w:pPr>
      <w:r w:rsidRPr="003A71FB">
        <w:rPr>
          <w:rFonts w:ascii="Traditional Arabic" w:hAnsi="Traditional Arabic" w:cs="Traditional Arabic"/>
          <w:b/>
          <w:bCs/>
          <w:sz w:val="32"/>
          <w:szCs w:val="32"/>
          <w:rtl/>
        </w:rPr>
        <w:t>جراحة الجهاز الهضمي.</w:t>
      </w:r>
      <w:r w:rsidRPr="003A71FB">
        <w:rPr>
          <w:rFonts w:ascii="Traditional Arabic" w:hAnsi="Traditional Arabic" w:cs="Traditional Arabic"/>
          <w:sz w:val="32"/>
          <w:szCs w:val="32"/>
          <w:rtl/>
        </w:rPr>
        <w:t> هي جراحة لتقليل حجم المعدة أو لإزالة جزء من الأمعاء للحد من كمية المنطقة السطحية المتاحة لامتصاص العناصر الغذائية، بما في ذلك الكالسيوم.</w:t>
      </w:r>
    </w:p>
    <w:p w:rsidR="003A71FB" w:rsidRPr="003A71FB" w:rsidRDefault="003A71FB" w:rsidP="003A71FB">
      <w:pPr>
        <w:jc w:val="lowKashida"/>
        <w:rPr>
          <w:rFonts w:ascii="Traditional Arabic" w:hAnsi="Traditional Arabic" w:cs="Traditional Arabic"/>
          <w:sz w:val="32"/>
          <w:szCs w:val="32"/>
          <w:rtl/>
        </w:rPr>
      </w:pPr>
      <w:proofErr w:type="spellStart"/>
      <w:r w:rsidRPr="003A71FB">
        <w:rPr>
          <w:rFonts w:ascii="Traditional Arabic" w:hAnsi="Traditional Arabic" w:cs="Traditional Arabic"/>
          <w:b/>
          <w:bCs/>
          <w:sz w:val="32"/>
          <w:szCs w:val="32"/>
          <w:rtl/>
        </w:rPr>
        <w:t>الستيرويدات</w:t>
      </w:r>
      <w:proofErr w:type="spellEnd"/>
      <w:r w:rsidRPr="003A71FB">
        <w:rPr>
          <w:rFonts w:ascii="Traditional Arabic" w:hAnsi="Traditional Arabic" w:cs="Traditional Arabic"/>
          <w:b/>
          <w:bCs/>
          <w:sz w:val="32"/>
          <w:szCs w:val="32"/>
          <w:rtl/>
        </w:rPr>
        <w:t xml:space="preserve"> والأدوية الأخرى</w:t>
      </w:r>
    </w:p>
    <w:p w:rsidR="003A71FB" w:rsidRPr="003A71FB" w:rsidRDefault="003A71FB" w:rsidP="003A71FB">
      <w:pPr>
        <w:jc w:val="lowKashida"/>
        <w:rPr>
          <w:rFonts w:ascii="Traditional Arabic" w:hAnsi="Traditional Arabic" w:cs="Traditional Arabic"/>
          <w:sz w:val="32"/>
          <w:szCs w:val="32"/>
          <w:rtl/>
        </w:rPr>
      </w:pPr>
      <w:r w:rsidRPr="003A71FB">
        <w:rPr>
          <w:rFonts w:ascii="Traditional Arabic" w:hAnsi="Traditional Arabic" w:cs="Traditional Arabic"/>
          <w:sz w:val="32"/>
          <w:szCs w:val="32"/>
          <w:rtl/>
        </w:rPr>
        <w:t xml:space="preserve">يتداخل التناول طويل الأجل لأدوية </w:t>
      </w:r>
      <w:proofErr w:type="spellStart"/>
      <w:r w:rsidRPr="003A71FB">
        <w:rPr>
          <w:rFonts w:ascii="Traditional Arabic" w:hAnsi="Traditional Arabic" w:cs="Traditional Arabic"/>
          <w:sz w:val="32"/>
          <w:szCs w:val="32"/>
          <w:rtl/>
        </w:rPr>
        <w:t>الكورتيكوستيرويد</w:t>
      </w:r>
      <w:proofErr w:type="spellEnd"/>
      <w:r w:rsidRPr="003A71FB">
        <w:rPr>
          <w:rFonts w:ascii="Traditional Arabic" w:hAnsi="Traditional Arabic" w:cs="Traditional Arabic"/>
          <w:sz w:val="32"/>
          <w:szCs w:val="32"/>
          <w:rtl/>
        </w:rPr>
        <w:t xml:space="preserve"> عن طريق الفم أو من خلال حقن </w:t>
      </w:r>
      <w:proofErr w:type="spellStart"/>
      <w:r w:rsidRPr="003A71FB">
        <w:rPr>
          <w:rFonts w:ascii="Traditional Arabic" w:hAnsi="Traditional Arabic" w:cs="Traditional Arabic"/>
          <w:sz w:val="32"/>
          <w:szCs w:val="32"/>
          <w:rtl/>
        </w:rPr>
        <w:t>الكورتيكوستيرويدات</w:t>
      </w:r>
      <w:proofErr w:type="spellEnd"/>
      <w:r w:rsidRPr="003A71FB">
        <w:rPr>
          <w:rFonts w:ascii="Traditional Arabic" w:hAnsi="Traditional Arabic" w:cs="Traditional Arabic"/>
          <w:sz w:val="32"/>
          <w:szCs w:val="32"/>
          <w:rtl/>
        </w:rPr>
        <w:t xml:space="preserve">، مثل </w:t>
      </w:r>
      <w:proofErr w:type="spellStart"/>
      <w:r w:rsidRPr="003A71FB">
        <w:rPr>
          <w:rFonts w:ascii="Traditional Arabic" w:hAnsi="Traditional Arabic" w:cs="Traditional Arabic"/>
          <w:sz w:val="32"/>
          <w:szCs w:val="32"/>
          <w:rtl/>
        </w:rPr>
        <w:t>بريدنيزون</w:t>
      </w:r>
      <w:proofErr w:type="spellEnd"/>
      <w:r w:rsidRPr="003A71FB">
        <w:rPr>
          <w:rFonts w:ascii="Traditional Arabic" w:hAnsi="Traditional Arabic" w:cs="Traditional Arabic"/>
          <w:sz w:val="32"/>
          <w:szCs w:val="32"/>
          <w:rtl/>
        </w:rPr>
        <w:t xml:space="preserve"> والكورتيزون، مع عملية إعادة بناء العظام. وترتبط الإصابة بهشاشة العظام كذلك بتناول الأدوية لمكافحة أو الوقاية من الآتي:</w:t>
      </w:r>
    </w:p>
    <w:p w:rsidR="003A71FB" w:rsidRPr="003A71FB" w:rsidRDefault="003A71FB" w:rsidP="003A71FB">
      <w:pPr>
        <w:numPr>
          <w:ilvl w:val="0"/>
          <w:numId w:val="6"/>
        </w:numPr>
        <w:jc w:val="lowKashida"/>
        <w:rPr>
          <w:rFonts w:ascii="Traditional Arabic" w:hAnsi="Traditional Arabic" w:cs="Traditional Arabic"/>
          <w:sz w:val="32"/>
          <w:szCs w:val="32"/>
          <w:rtl/>
        </w:rPr>
      </w:pPr>
      <w:r w:rsidRPr="003A71FB">
        <w:rPr>
          <w:rFonts w:ascii="Traditional Arabic" w:hAnsi="Traditional Arabic" w:cs="Traditional Arabic"/>
          <w:sz w:val="32"/>
          <w:szCs w:val="32"/>
          <w:rtl/>
        </w:rPr>
        <w:t>النوبات</w:t>
      </w:r>
    </w:p>
    <w:p w:rsidR="003A71FB" w:rsidRPr="003A71FB" w:rsidRDefault="003A71FB" w:rsidP="003A71FB">
      <w:pPr>
        <w:numPr>
          <w:ilvl w:val="0"/>
          <w:numId w:val="6"/>
        </w:numPr>
        <w:jc w:val="lowKashida"/>
        <w:rPr>
          <w:rFonts w:ascii="Traditional Arabic" w:hAnsi="Traditional Arabic" w:cs="Traditional Arabic"/>
          <w:sz w:val="32"/>
          <w:szCs w:val="32"/>
          <w:rtl/>
        </w:rPr>
      </w:pPr>
      <w:r w:rsidRPr="003A71FB">
        <w:rPr>
          <w:rFonts w:ascii="Traditional Arabic" w:hAnsi="Traditional Arabic" w:cs="Traditional Arabic"/>
          <w:sz w:val="32"/>
          <w:szCs w:val="32"/>
          <w:rtl/>
        </w:rPr>
        <w:t>جزر معدٍ</w:t>
      </w:r>
    </w:p>
    <w:p w:rsidR="003A71FB" w:rsidRPr="003A71FB" w:rsidRDefault="003A71FB" w:rsidP="003A71FB">
      <w:pPr>
        <w:numPr>
          <w:ilvl w:val="0"/>
          <w:numId w:val="6"/>
        </w:numPr>
        <w:jc w:val="lowKashida"/>
        <w:rPr>
          <w:rFonts w:ascii="Traditional Arabic" w:hAnsi="Traditional Arabic" w:cs="Traditional Arabic"/>
          <w:sz w:val="32"/>
          <w:szCs w:val="32"/>
          <w:rtl/>
        </w:rPr>
      </w:pPr>
      <w:r w:rsidRPr="003A71FB">
        <w:rPr>
          <w:rFonts w:ascii="Traditional Arabic" w:hAnsi="Traditional Arabic" w:cs="Traditional Arabic"/>
          <w:sz w:val="32"/>
          <w:szCs w:val="32"/>
          <w:rtl/>
        </w:rPr>
        <w:t>السرطان</w:t>
      </w:r>
    </w:p>
    <w:p w:rsidR="003A71FB" w:rsidRPr="003A71FB" w:rsidRDefault="003A71FB" w:rsidP="003A71FB">
      <w:pPr>
        <w:numPr>
          <w:ilvl w:val="0"/>
          <w:numId w:val="6"/>
        </w:numPr>
        <w:jc w:val="lowKashida"/>
        <w:rPr>
          <w:rFonts w:ascii="Traditional Arabic" w:hAnsi="Traditional Arabic" w:cs="Traditional Arabic"/>
          <w:sz w:val="32"/>
          <w:szCs w:val="32"/>
          <w:rtl/>
        </w:rPr>
      </w:pPr>
      <w:r w:rsidRPr="003A71FB">
        <w:rPr>
          <w:rFonts w:ascii="Traditional Arabic" w:hAnsi="Traditional Arabic" w:cs="Traditional Arabic"/>
          <w:sz w:val="32"/>
          <w:szCs w:val="32"/>
          <w:rtl/>
        </w:rPr>
        <w:t>رفض الأعضاء المزروعة</w:t>
      </w:r>
    </w:p>
    <w:p w:rsidR="003A71FB" w:rsidRPr="003A71FB" w:rsidRDefault="003A71FB" w:rsidP="003A71FB">
      <w:pPr>
        <w:jc w:val="lowKashida"/>
        <w:rPr>
          <w:rFonts w:ascii="Traditional Arabic" w:hAnsi="Traditional Arabic" w:cs="Traditional Arabic"/>
          <w:b/>
          <w:bCs/>
          <w:sz w:val="32"/>
          <w:szCs w:val="32"/>
          <w:rtl/>
        </w:rPr>
      </w:pPr>
      <w:r w:rsidRPr="003A71FB">
        <w:rPr>
          <w:rFonts w:ascii="Traditional Arabic" w:hAnsi="Traditional Arabic" w:cs="Traditional Arabic"/>
          <w:b/>
          <w:bCs/>
          <w:sz w:val="32"/>
          <w:szCs w:val="32"/>
          <w:rtl/>
        </w:rPr>
        <w:t>حالات طبية</w:t>
      </w:r>
    </w:p>
    <w:p w:rsidR="003A71FB" w:rsidRPr="003A71FB" w:rsidRDefault="003A71FB" w:rsidP="003A71FB">
      <w:pPr>
        <w:jc w:val="lowKashida"/>
        <w:rPr>
          <w:rFonts w:ascii="Traditional Arabic" w:hAnsi="Traditional Arabic" w:cs="Traditional Arabic"/>
          <w:sz w:val="32"/>
          <w:szCs w:val="32"/>
          <w:rtl/>
        </w:rPr>
      </w:pPr>
      <w:r w:rsidRPr="003A71FB">
        <w:rPr>
          <w:rFonts w:ascii="Traditional Arabic" w:hAnsi="Traditional Arabic" w:cs="Traditional Arabic"/>
          <w:sz w:val="32"/>
          <w:szCs w:val="32"/>
          <w:rtl/>
        </w:rPr>
        <w:t>يزيد خطر الإصابة بهشاشة العظام لدى الأشخاص الذين يعانون مشكلات طبية معينة، بما في ذلك:</w:t>
      </w:r>
    </w:p>
    <w:p w:rsidR="003A71FB" w:rsidRPr="003A71FB" w:rsidRDefault="003A71FB" w:rsidP="003A71FB">
      <w:pPr>
        <w:numPr>
          <w:ilvl w:val="0"/>
          <w:numId w:val="7"/>
        </w:numPr>
        <w:jc w:val="lowKashida"/>
        <w:rPr>
          <w:rFonts w:ascii="Traditional Arabic" w:hAnsi="Traditional Arabic" w:cs="Traditional Arabic"/>
          <w:sz w:val="32"/>
          <w:szCs w:val="32"/>
          <w:rtl/>
        </w:rPr>
      </w:pPr>
      <w:r w:rsidRPr="003A71FB">
        <w:rPr>
          <w:rFonts w:ascii="Traditional Arabic" w:hAnsi="Traditional Arabic" w:cs="Traditional Arabic"/>
          <w:sz w:val="32"/>
          <w:szCs w:val="32"/>
          <w:rtl/>
        </w:rPr>
        <w:t>الداء البطني</w:t>
      </w:r>
    </w:p>
    <w:p w:rsidR="003A71FB" w:rsidRPr="003A71FB" w:rsidRDefault="003A71FB" w:rsidP="003A71FB">
      <w:pPr>
        <w:numPr>
          <w:ilvl w:val="0"/>
          <w:numId w:val="7"/>
        </w:numPr>
        <w:jc w:val="lowKashida"/>
        <w:rPr>
          <w:rFonts w:ascii="Traditional Arabic" w:hAnsi="Traditional Arabic" w:cs="Traditional Arabic"/>
          <w:sz w:val="32"/>
          <w:szCs w:val="32"/>
          <w:rtl/>
        </w:rPr>
      </w:pPr>
      <w:r w:rsidRPr="003A71FB">
        <w:rPr>
          <w:rFonts w:ascii="Traditional Arabic" w:hAnsi="Traditional Arabic" w:cs="Traditional Arabic"/>
          <w:sz w:val="32"/>
          <w:szCs w:val="32"/>
          <w:rtl/>
        </w:rPr>
        <w:t>داء الأمعاء الالتهابي</w:t>
      </w:r>
    </w:p>
    <w:p w:rsidR="003A71FB" w:rsidRPr="003A71FB" w:rsidRDefault="003A71FB" w:rsidP="003A71FB">
      <w:pPr>
        <w:numPr>
          <w:ilvl w:val="0"/>
          <w:numId w:val="7"/>
        </w:numPr>
        <w:jc w:val="lowKashida"/>
        <w:rPr>
          <w:rFonts w:ascii="Traditional Arabic" w:hAnsi="Traditional Arabic" w:cs="Traditional Arabic"/>
          <w:sz w:val="32"/>
          <w:szCs w:val="32"/>
          <w:rtl/>
        </w:rPr>
      </w:pPr>
      <w:r w:rsidRPr="003A71FB">
        <w:rPr>
          <w:rFonts w:ascii="Traditional Arabic" w:hAnsi="Traditional Arabic" w:cs="Traditional Arabic"/>
          <w:sz w:val="32"/>
          <w:szCs w:val="32"/>
          <w:rtl/>
        </w:rPr>
        <w:t>مرض كلوي أو كبدي</w:t>
      </w:r>
    </w:p>
    <w:p w:rsidR="003A71FB" w:rsidRPr="003A71FB" w:rsidRDefault="003A71FB" w:rsidP="003A71FB">
      <w:pPr>
        <w:numPr>
          <w:ilvl w:val="0"/>
          <w:numId w:val="7"/>
        </w:numPr>
        <w:jc w:val="lowKashida"/>
        <w:rPr>
          <w:rFonts w:ascii="Traditional Arabic" w:hAnsi="Traditional Arabic" w:cs="Traditional Arabic"/>
          <w:sz w:val="32"/>
          <w:szCs w:val="32"/>
          <w:rtl/>
        </w:rPr>
      </w:pPr>
      <w:r w:rsidRPr="003A71FB">
        <w:rPr>
          <w:rFonts w:ascii="Traditional Arabic" w:hAnsi="Traditional Arabic" w:cs="Traditional Arabic"/>
          <w:sz w:val="32"/>
          <w:szCs w:val="32"/>
          <w:rtl/>
        </w:rPr>
        <w:t>السرطان</w:t>
      </w:r>
    </w:p>
    <w:p w:rsidR="003A71FB" w:rsidRPr="003A71FB" w:rsidRDefault="003A71FB" w:rsidP="003A71FB">
      <w:pPr>
        <w:numPr>
          <w:ilvl w:val="0"/>
          <w:numId w:val="7"/>
        </w:numPr>
        <w:jc w:val="lowKashida"/>
        <w:rPr>
          <w:rFonts w:ascii="Traditional Arabic" w:hAnsi="Traditional Arabic" w:cs="Traditional Arabic"/>
          <w:sz w:val="32"/>
          <w:szCs w:val="32"/>
          <w:rtl/>
        </w:rPr>
      </w:pPr>
      <w:r w:rsidRPr="003A71FB">
        <w:rPr>
          <w:rFonts w:ascii="Traditional Arabic" w:hAnsi="Traditional Arabic" w:cs="Traditional Arabic"/>
          <w:sz w:val="32"/>
          <w:szCs w:val="32"/>
          <w:rtl/>
        </w:rPr>
        <w:t>الذئبة</w:t>
      </w:r>
    </w:p>
    <w:p w:rsidR="003A71FB" w:rsidRPr="003A71FB" w:rsidRDefault="003A71FB" w:rsidP="003A71FB">
      <w:pPr>
        <w:numPr>
          <w:ilvl w:val="0"/>
          <w:numId w:val="7"/>
        </w:numPr>
        <w:jc w:val="lowKashida"/>
        <w:rPr>
          <w:rFonts w:ascii="Traditional Arabic" w:hAnsi="Traditional Arabic" w:cs="Traditional Arabic"/>
          <w:sz w:val="32"/>
          <w:szCs w:val="32"/>
          <w:rtl/>
        </w:rPr>
      </w:pPr>
      <w:r w:rsidRPr="003A71FB">
        <w:rPr>
          <w:rFonts w:ascii="Traditional Arabic" w:hAnsi="Traditional Arabic" w:cs="Traditional Arabic"/>
          <w:sz w:val="32"/>
          <w:szCs w:val="32"/>
          <w:rtl/>
        </w:rPr>
        <w:t xml:space="preserve">الورم </w:t>
      </w:r>
      <w:proofErr w:type="spellStart"/>
      <w:r w:rsidRPr="003A71FB">
        <w:rPr>
          <w:rFonts w:ascii="Traditional Arabic" w:hAnsi="Traditional Arabic" w:cs="Traditional Arabic"/>
          <w:sz w:val="32"/>
          <w:szCs w:val="32"/>
          <w:rtl/>
        </w:rPr>
        <w:t>النقوي</w:t>
      </w:r>
      <w:proofErr w:type="spellEnd"/>
      <w:r w:rsidRPr="003A71FB">
        <w:rPr>
          <w:rFonts w:ascii="Traditional Arabic" w:hAnsi="Traditional Arabic" w:cs="Traditional Arabic"/>
          <w:sz w:val="32"/>
          <w:szCs w:val="32"/>
          <w:rtl/>
        </w:rPr>
        <w:t xml:space="preserve"> المتعدد</w:t>
      </w:r>
    </w:p>
    <w:p w:rsidR="003A71FB" w:rsidRPr="003A71FB" w:rsidRDefault="003A71FB" w:rsidP="003A71FB">
      <w:pPr>
        <w:numPr>
          <w:ilvl w:val="0"/>
          <w:numId w:val="7"/>
        </w:numPr>
        <w:jc w:val="lowKashida"/>
        <w:rPr>
          <w:rFonts w:ascii="Traditional Arabic" w:hAnsi="Traditional Arabic" w:cs="Traditional Arabic"/>
          <w:sz w:val="32"/>
          <w:szCs w:val="32"/>
          <w:rtl/>
        </w:rPr>
      </w:pPr>
      <w:r w:rsidRPr="003A71FB">
        <w:rPr>
          <w:rFonts w:ascii="Traditional Arabic" w:hAnsi="Traditional Arabic" w:cs="Traditional Arabic"/>
          <w:sz w:val="32"/>
          <w:szCs w:val="32"/>
          <w:rtl/>
        </w:rPr>
        <w:t xml:space="preserve">التهاب المفاصل </w:t>
      </w:r>
      <w:proofErr w:type="spellStart"/>
      <w:r w:rsidRPr="003A71FB">
        <w:rPr>
          <w:rFonts w:ascii="Traditional Arabic" w:hAnsi="Traditional Arabic" w:cs="Traditional Arabic"/>
          <w:sz w:val="32"/>
          <w:szCs w:val="32"/>
          <w:rtl/>
        </w:rPr>
        <w:t>الروماتويدي</w:t>
      </w:r>
      <w:proofErr w:type="spellEnd"/>
    </w:p>
    <w:p w:rsidR="003A71FB" w:rsidRPr="003A71FB" w:rsidRDefault="003A71FB" w:rsidP="003A71FB">
      <w:pPr>
        <w:jc w:val="lowKashida"/>
        <w:rPr>
          <w:rFonts w:ascii="Traditional Arabic" w:hAnsi="Traditional Arabic" w:cs="Traditional Arabic"/>
          <w:sz w:val="32"/>
          <w:szCs w:val="32"/>
          <w:rtl/>
        </w:rPr>
      </w:pPr>
      <w:r w:rsidRPr="003A71FB">
        <w:rPr>
          <w:rFonts w:ascii="Traditional Arabic" w:hAnsi="Traditional Arabic" w:cs="Traditional Arabic"/>
          <w:b/>
          <w:bCs/>
          <w:sz w:val="32"/>
          <w:szCs w:val="32"/>
          <w:rtl/>
        </w:rPr>
        <w:t>خيارات نمط الحياة</w:t>
      </w:r>
    </w:p>
    <w:p w:rsidR="003A71FB" w:rsidRPr="003A71FB" w:rsidRDefault="003A71FB" w:rsidP="003A71FB">
      <w:pPr>
        <w:jc w:val="lowKashida"/>
        <w:rPr>
          <w:rFonts w:ascii="Traditional Arabic" w:hAnsi="Traditional Arabic" w:cs="Traditional Arabic"/>
          <w:sz w:val="32"/>
          <w:szCs w:val="32"/>
          <w:rtl/>
        </w:rPr>
      </w:pPr>
      <w:r w:rsidRPr="003A71FB">
        <w:rPr>
          <w:rFonts w:ascii="Traditional Arabic" w:hAnsi="Traditional Arabic" w:cs="Traditional Arabic"/>
          <w:sz w:val="32"/>
          <w:szCs w:val="32"/>
          <w:rtl/>
        </w:rPr>
        <w:t>يمكن لبعض العادات السيئة أن تزيد من خطر الإصابة بهشاشة العظام. تتضمن الأمثلة:</w:t>
      </w:r>
    </w:p>
    <w:p w:rsidR="003A71FB" w:rsidRPr="003A71FB" w:rsidRDefault="003A71FB" w:rsidP="003A71FB">
      <w:pPr>
        <w:numPr>
          <w:ilvl w:val="0"/>
          <w:numId w:val="8"/>
        </w:numPr>
        <w:jc w:val="lowKashida"/>
        <w:rPr>
          <w:rFonts w:ascii="Traditional Arabic" w:hAnsi="Traditional Arabic" w:cs="Traditional Arabic"/>
          <w:sz w:val="32"/>
          <w:szCs w:val="32"/>
          <w:rtl/>
        </w:rPr>
      </w:pPr>
      <w:r w:rsidRPr="003A71FB">
        <w:rPr>
          <w:rFonts w:ascii="Traditional Arabic" w:hAnsi="Traditional Arabic" w:cs="Traditional Arabic"/>
          <w:b/>
          <w:bCs/>
          <w:sz w:val="32"/>
          <w:szCs w:val="32"/>
          <w:rtl/>
        </w:rPr>
        <w:t>نمط الحياة الخامل.</w:t>
      </w:r>
      <w:r w:rsidRPr="003A71FB">
        <w:rPr>
          <w:rFonts w:ascii="Traditional Arabic" w:hAnsi="Traditional Arabic" w:cs="Traditional Arabic"/>
          <w:sz w:val="32"/>
          <w:szCs w:val="32"/>
          <w:rtl/>
        </w:rPr>
        <w:t> يزيد خطر الإصابة بهشاشة العظام لدى الأشخاص الذين يقضون الكثير من الوقت جالسين مقارنة بأولئك الذين هم أكثر نشاطًا. تعتبر أي ممارسة رياضية تنطوي على حمل الأوزان والقيام بالأنشطة التي تعزز التوازن وتحسّن من وضعية الجسم مفيدة لعظامك، ولكن أنشطة المشي والجري والقفز والرقص ورفع الأثقال تبدو مفيدة بشكل خاص.</w:t>
      </w:r>
    </w:p>
    <w:p w:rsidR="003A71FB" w:rsidRPr="003A71FB" w:rsidRDefault="003A71FB" w:rsidP="003A71FB">
      <w:pPr>
        <w:numPr>
          <w:ilvl w:val="0"/>
          <w:numId w:val="8"/>
        </w:numPr>
        <w:jc w:val="lowKashida"/>
        <w:rPr>
          <w:rFonts w:ascii="Traditional Arabic" w:hAnsi="Traditional Arabic" w:cs="Traditional Arabic"/>
          <w:sz w:val="32"/>
          <w:szCs w:val="32"/>
          <w:rtl/>
        </w:rPr>
      </w:pPr>
      <w:r w:rsidRPr="003A71FB">
        <w:rPr>
          <w:rFonts w:ascii="Traditional Arabic" w:hAnsi="Traditional Arabic" w:cs="Traditional Arabic"/>
          <w:b/>
          <w:bCs/>
          <w:sz w:val="32"/>
          <w:szCs w:val="32"/>
          <w:rtl/>
        </w:rPr>
        <w:t>الإفراط في تناول الكحوليات.</w:t>
      </w:r>
      <w:r w:rsidRPr="003A71FB">
        <w:rPr>
          <w:rFonts w:ascii="Traditional Arabic" w:hAnsi="Traditional Arabic" w:cs="Traditional Arabic"/>
          <w:sz w:val="32"/>
          <w:szCs w:val="32"/>
          <w:rtl/>
        </w:rPr>
        <w:t> يزيد الاستهلاك المنتظم لأكثر من اثنين من المشروبات الكحولية يوميًا من خطر الإصابة بهشاشة العظام.</w:t>
      </w:r>
    </w:p>
    <w:p w:rsidR="003A71FB" w:rsidRPr="003A71FB" w:rsidRDefault="003A71FB" w:rsidP="003A71FB">
      <w:pPr>
        <w:numPr>
          <w:ilvl w:val="0"/>
          <w:numId w:val="8"/>
        </w:numPr>
        <w:jc w:val="lowKashida"/>
        <w:rPr>
          <w:rFonts w:ascii="Traditional Arabic" w:hAnsi="Traditional Arabic" w:cs="Traditional Arabic"/>
          <w:sz w:val="32"/>
          <w:szCs w:val="32"/>
          <w:rtl/>
        </w:rPr>
      </w:pPr>
      <w:r w:rsidRPr="003A71FB">
        <w:rPr>
          <w:rFonts w:ascii="Traditional Arabic" w:hAnsi="Traditional Arabic" w:cs="Traditional Arabic"/>
          <w:b/>
          <w:bCs/>
          <w:sz w:val="32"/>
          <w:szCs w:val="32"/>
          <w:rtl/>
        </w:rPr>
        <w:t>استخدام التبغ.</w:t>
      </w:r>
      <w:r w:rsidRPr="003A71FB">
        <w:rPr>
          <w:rFonts w:ascii="Traditional Arabic" w:hAnsi="Traditional Arabic" w:cs="Traditional Arabic"/>
          <w:sz w:val="32"/>
          <w:szCs w:val="32"/>
          <w:rtl/>
        </w:rPr>
        <w:t> يعد الدور المحدد الذي يلعبه التبغ في هشاشة العظام ليس مفهومًا بشكل واضح، ولكن تبين أن تناول التبغ يسهم في ضعف العظم.</w:t>
      </w:r>
    </w:p>
    <w:p w:rsidR="003A71FB" w:rsidRPr="003A71FB" w:rsidRDefault="003A71FB" w:rsidP="003A71FB">
      <w:pPr>
        <w:jc w:val="lowKashida"/>
        <w:rPr>
          <w:rFonts w:ascii="Traditional Arabic" w:hAnsi="Traditional Arabic" w:cs="Traditional Arabic"/>
          <w:sz w:val="32"/>
          <w:szCs w:val="32"/>
          <w:rtl/>
        </w:rPr>
      </w:pPr>
      <w:r w:rsidRPr="003A71FB">
        <w:rPr>
          <w:rFonts w:ascii="Traditional Arabic" w:hAnsi="Traditional Arabic" w:cs="Traditional Arabic"/>
          <w:sz w:val="32"/>
          <w:szCs w:val="32"/>
          <w:rtl/>
        </w:rPr>
        <w:t>المضاعفات</w:t>
      </w:r>
    </w:p>
    <w:p w:rsidR="003A71FB" w:rsidRPr="003A71FB" w:rsidRDefault="003A71FB" w:rsidP="003A71FB">
      <w:pPr>
        <w:numPr>
          <w:ilvl w:val="0"/>
          <w:numId w:val="9"/>
        </w:numPr>
        <w:jc w:val="lowKashida"/>
        <w:rPr>
          <w:rFonts w:ascii="Traditional Arabic" w:hAnsi="Traditional Arabic" w:cs="Traditional Arabic"/>
          <w:sz w:val="32"/>
          <w:szCs w:val="32"/>
          <w:rtl/>
        </w:rPr>
      </w:pPr>
      <w:r w:rsidRPr="003A71FB">
        <w:rPr>
          <w:rFonts w:ascii="Traditional Arabic" w:hAnsi="Traditional Arabic" w:cs="Traditional Arabic"/>
          <w:sz w:val="32"/>
          <w:szCs w:val="32"/>
        </w:rPr>
        <mc:AlternateContent>
          <mc:Choice Requires="wps">
            <w:drawing>
              <wp:inline distT="0" distB="0" distL="0" distR="0">
                <wp:extent cx="304800" cy="304800"/>
                <wp:effectExtent l="0" t="0" r="0" b="0"/>
                <wp:docPr id="1" name="مستطيل 1" descr="يمكن لهشاشة العظام التسبب في تغضن وانهيار الفقرات.">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33F854" id="مستطيل 1" o:spid="_x0000_s1026" alt="يمكن لهشاشة العظام التسبب في تغضن وانهيار الفقرات." href="https://www.mayoclinic.org/-/media/kcms/gbs/patient-consumer/images/2013/08/26/11/10/ds00128_im04628_mcdc7_osteoporosis-_vertebrathu_jpg.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" o:button="t" filled="f" stroked="f">
                <v:fill o:detectmouseclick="t"/>
                <o:lock v:ext="edit" aspectratio="t"/>
                <w10:wrap anchorx="page"/>
                <w10:anchorlock/>
              </v:rect>
            </w:pict>
          </mc:Fallback>
        </mc:AlternateContent>
      </w:r>
    </w:p>
    <w:p w:rsidR="003A71FB" w:rsidRPr="003A71FB" w:rsidRDefault="003A71FB" w:rsidP="003A71FB">
      <w:pPr>
        <w:jc w:val="lowKashida"/>
        <w:rPr>
          <w:rFonts w:ascii="Traditional Arabic" w:hAnsi="Traditional Arabic" w:cs="Traditional Arabic"/>
          <w:b/>
          <w:bCs/>
          <w:sz w:val="32"/>
          <w:szCs w:val="32"/>
          <w:rtl/>
        </w:rPr>
      </w:pPr>
      <w:r w:rsidRPr="003A71FB">
        <w:rPr>
          <w:rFonts w:ascii="Traditional Arabic" w:hAnsi="Traditional Arabic" w:cs="Traditional Arabic"/>
          <w:b/>
          <w:bCs/>
          <w:sz w:val="32"/>
          <w:szCs w:val="32"/>
          <w:rtl/>
        </w:rPr>
        <w:t>كسور الضغط</w:t>
      </w:r>
    </w:p>
    <w:p w:rsidR="003A71FB" w:rsidRPr="003A71FB" w:rsidRDefault="003A71FB" w:rsidP="003A71FB">
      <w:pPr>
        <w:jc w:val="lowKashida"/>
        <w:rPr>
          <w:rFonts w:ascii="Traditional Arabic" w:hAnsi="Traditional Arabic" w:cs="Traditional Arabic"/>
          <w:sz w:val="32"/>
          <w:szCs w:val="32"/>
          <w:rtl/>
        </w:rPr>
      </w:pPr>
      <w:r w:rsidRPr="003A71FB">
        <w:rPr>
          <w:rFonts w:ascii="Traditional Arabic" w:hAnsi="Traditional Arabic" w:cs="Traditional Arabic"/>
          <w:sz w:val="32"/>
          <w:szCs w:val="32"/>
          <w:rtl/>
        </w:rPr>
        <w:t>تُعد كسور العظام، وخاصةً في العمود الفقري أو الورك، أخطر مضاعفات هشاشة العظام شيوعًا. وتحدث كسور العظام غالبًا بسبب السقوط، ومن الممكن أن تؤدي إلى الإعاقة وكذلك زيادة خطر الوفاة في العام الأول من الإصابة.</w:t>
      </w:r>
    </w:p>
    <w:p w:rsidR="003A71FB" w:rsidRPr="003A71FB" w:rsidRDefault="003A71FB" w:rsidP="003A71FB">
      <w:pPr>
        <w:jc w:val="lowKashida"/>
        <w:rPr>
          <w:rFonts w:ascii="Traditional Arabic" w:hAnsi="Traditional Arabic" w:cs="Traditional Arabic"/>
          <w:sz w:val="32"/>
          <w:szCs w:val="32"/>
          <w:rtl/>
        </w:rPr>
      </w:pPr>
      <w:r w:rsidRPr="003A71FB">
        <w:rPr>
          <w:rFonts w:ascii="Traditional Arabic" w:hAnsi="Traditional Arabic" w:cs="Traditional Arabic"/>
          <w:sz w:val="32"/>
          <w:szCs w:val="32"/>
          <w:rtl/>
        </w:rPr>
        <w:t>وفي بعض الحالات، يمكن أن تحدث كسور العمود الفقري ولو لم يسقط المريض. يمكن أن تَضعف العظام التي تُشكل عمودك الفقري (الفقرات) إلى حد التغضن، الأمر الذي يؤدي إلى حدوث آلام الظهر وفقدان الطول وتقوس الوضعية بالانحناء إلى الأمام.</w:t>
      </w:r>
    </w:p>
    <w:p w:rsidR="003A71FB" w:rsidRPr="003A71FB" w:rsidRDefault="003A71FB" w:rsidP="003A71FB">
      <w:pPr>
        <w:jc w:val="lowKashida"/>
        <w:rPr>
          <w:rFonts w:ascii="Traditional Arabic" w:hAnsi="Traditional Arabic" w:cs="Traditional Arabic"/>
          <w:sz w:val="32"/>
          <w:szCs w:val="32"/>
          <w:rtl/>
        </w:rPr>
      </w:pPr>
      <w:r w:rsidRPr="003A71FB">
        <w:rPr>
          <w:rFonts w:ascii="Traditional Arabic" w:hAnsi="Traditional Arabic" w:cs="Traditional Arabic"/>
          <w:sz w:val="32"/>
          <w:szCs w:val="32"/>
          <w:rtl/>
        </w:rPr>
        <w:t>الوقاية</w:t>
      </w:r>
    </w:p>
    <w:p w:rsidR="003A71FB" w:rsidRPr="003A71FB" w:rsidRDefault="003A71FB" w:rsidP="003A71FB">
      <w:pPr>
        <w:jc w:val="lowKashida"/>
        <w:rPr>
          <w:rFonts w:ascii="Traditional Arabic" w:hAnsi="Traditional Arabic" w:cs="Traditional Arabic"/>
          <w:sz w:val="32"/>
          <w:szCs w:val="32"/>
          <w:rtl/>
        </w:rPr>
      </w:pPr>
      <w:r w:rsidRPr="003A71FB">
        <w:rPr>
          <w:rFonts w:ascii="Traditional Arabic" w:hAnsi="Traditional Arabic" w:cs="Traditional Arabic"/>
          <w:sz w:val="32"/>
          <w:szCs w:val="32"/>
          <w:rtl/>
        </w:rPr>
        <w:t>تُعد التغذية الجيدة والتمارين المنتظمة ضرورية للحفاظ على صحة عظامك طوال حياتك.</w:t>
      </w:r>
    </w:p>
    <w:p w:rsidR="003A71FB" w:rsidRPr="003A71FB" w:rsidRDefault="003A71FB" w:rsidP="003A71FB">
      <w:pPr>
        <w:jc w:val="lowKashida"/>
        <w:rPr>
          <w:rFonts w:ascii="Traditional Arabic" w:hAnsi="Traditional Arabic" w:cs="Traditional Arabic"/>
          <w:b/>
          <w:bCs/>
          <w:sz w:val="32"/>
          <w:szCs w:val="32"/>
          <w:rtl/>
        </w:rPr>
      </w:pPr>
      <w:r w:rsidRPr="003A71FB">
        <w:rPr>
          <w:rFonts w:ascii="Traditional Arabic" w:hAnsi="Traditional Arabic" w:cs="Traditional Arabic"/>
          <w:b/>
          <w:bCs/>
          <w:sz w:val="32"/>
          <w:szCs w:val="32"/>
          <w:rtl/>
        </w:rPr>
        <w:t>البروتين</w:t>
      </w:r>
    </w:p>
    <w:p w:rsidR="003A71FB" w:rsidRPr="003A71FB" w:rsidRDefault="003A71FB" w:rsidP="003A71FB">
      <w:pPr>
        <w:jc w:val="lowKashida"/>
        <w:rPr>
          <w:rFonts w:ascii="Traditional Arabic" w:hAnsi="Traditional Arabic" w:cs="Traditional Arabic"/>
          <w:sz w:val="32"/>
          <w:szCs w:val="32"/>
          <w:rtl/>
        </w:rPr>
      </w:pPr>
      <w:r w:rsidRPr="003A71FB">
        <w:rPr>
          <w:rFonts w:ascii="Traditional Arabic" w:hAnsi="Traditional Arabic" w:cs="Traditional Arabic"/>
          <w:sz w:val="32"/>
          <w:szCs w:val="32"/>
          <w:rtl/>
        </w:rPr>
        <w:t>البروتين هو أحد وحدات البناء الأساسية للعظام. بينما يحصل معظم الأشخاص على الكثير من البروتين في نظامهم الغذائي، فإن البعض الآخر لا يفعل ذلك. يمكن للنباتيين والخضريين الحصول على ما يكفي من البروتين في النظام الغذائي إذا بحثوا عن قصد عن مصادر مناسبة، مثل فول الصويا والمكسرات والبقوليات ومنتجات الألبان والبيض إذا سمح لهم بذلك. قد يأكل البالغون الأكبر سنًا أيضًا كمية أقل من البروتين لأسباب مختلفة. قد تكون مكملات البروتين خيارًا.</w:t>
      </w:r>
    </w:p>
    <w:p w:rsidR="003A71FB" w:rsidRPr="003A71FB" w:rsidRDefault="003A71FB" w:rsidP="003A71FB">
      <w:pPr>
        <w:jc w:val="lowKashida"/>
        <w:rPr>
          <w:rFonts w:ascii="Traditional Arabic" w:hAnsi="Traditional Arabic" w:cs="Traditional Arabic"/>
          <w:b/>
          <w:bCs/>
          <w:sz w:val="32"/>
          <w:szCs w:val="32"/>
          <w:rtl/>
        </w:rPr>
      </w:pPr>
      <w:r w:rsidRPr="003A71FB">
        <w:rPr>
          <w:rFonts w:ascii="Traditional Arabic" w:hAnsi="Traditional Arabic" w:cs="Traditional Arabic"/>
          <w:b/>
          <w:bCs/>
          <w:sz w:val="32"/>
          <w:szCs w:val="32"/>
          <w:rtl/>
        </w:rPr>
        <w:t>وزن الجسم</w:t>
      </w:r>
    </w:p>
    <w:p w:rsidR="003A71FB" w:rsidRPr="003A71FB" w:rsidRDefault="003A71FB" w:rsidP="003A71FB">
      <w:pPr>
        <w:jc w:val="lowKashida"/>
        <w:rPr>
          <w:rFonts w:ascii="Traditional Arabic" w:hAnsi="Traditional Arabic" w:cs="Traditional Arabic"/>
          <w:sz w:val="32"/>
          <w:szCs w:val="32"/>
          <w:rtl/>
        </w:rPr>
      </w:pPr>
      <w:r w:rsidRPr="003A71FB">
        <w:rPr>
          <w:rFonts w:ascii="Traditional Arabic" w:hAnsi="Traditional Arabic" w:cs="Traditional Arabic"/>
          <w:sz w:val="32"/>
          <w:szCs w:val="32"/>
          <w:rtl/>
        </w:rPr>
        <w:t>يزيد نقص الوزن من فرصة فقدان العظام والكسور. من المعروف الآن أن الوزن الزائد يزيد من خطر الإصابة بكسور في الذراعين والساقين. ومن ثم، يُعد الحفاظ على وزن جسم مناسب مفيدًا للعظام كما هو الحال بالنسبة للصحة بشكل عام.</w:t>
      </w:r>
    </w:p>
    <w:p w:rsidR="003A71FB" w:rsidRPr="003A71FB" w:rsidRDefault="003A71FB" w:rsidP="003A71FB">
      <w:pPr>
        <w:jc w:val="lowKashida"/>
        <w:rPr>
          <w:rFonts w:ascii="Traditional Arabic" w:hAnsi="Traditional Arabic" w:cs="Traditional Arabic"/>
          <w:b/>
          <w:bCs/>
          <w:sz w:val="32"/>
          <w:szCs w:val="32"/>
          <w:rtl/>
        </w:rPr>
      </w:pPr>
      <w:r w:rsidRPr="003A71FB">
        <w:rPr>
          <w:rFonts w:ascii="Traditional Arabic" w:hAnsi="Traditional Arabic" w:cs="Traditional Arabic"/>
          <w:b/>
          <w:bCs/>
          <w:sz w:val="32"/>
          <w:szCs w:val="32"/>
          <w:rtl/>
        </w:rPr>
        <w:t>الكالسيوم</w:t>
      </w:r>
    </w:p>
    <w:p w:rsidR="003A71FB" w:rsidRPr="003A71FB" w:rsidRDefault="003A71FB" w:rsidP="003A71FB">
      <w:pPr>
        <w:jc w:val="lowKashida"/>
        <w:rPr>
          <w:rFonts w:ascii="Traditional Arabic" w:hAnsi="Traditional Arabic" w:cs="Traditional Arabic"/>
          <w:sz w:val="32"/>
          <w:szCs w:val="32"/>
          <w:rtl/>
        </w:rPr>
      </w:pPr>
      <w:r w:rsidRPr="003A71FB">
        <w:rPr>
          <w:rFonts w:ascii="Traditional Arabic" w:hAnsi="Traditional Arabic" w:cs="Traditional Arabic"/>
          <w:sz w:val="32"/>
          <w:szCs w:val="32"/>
          <w:rtl/>
        </w:rPr>
        <w:t xml:space="preserve">يحتاج الرجال والنساء الذين تتراوح أعمارهم بين 18 و50 عامًا إلى 1000 </w:t>
      </w:r>
      <w:proofErr w:type="spellStart"/>
      <w:r w:rsidRPr="003A71FB">
        <w:rPr>
          <w:rFonts w:ascii="Traditional Arabic" w:hAnsi="Traditional Arabic" w:cs="Traditional Arabic"/>
          <w:sz w:val="32"/>
          <w:szCs w:val="32"/>
          <w:rtl/>
        </w:rPr>
        <w:t>ملليجرام</w:t>
      </w:r>
      <w:proofErr w:type="spellEnd"/>
      <w:r w:rsidRPr="003A71FB">
        <w:rPr>
          <w:rFonts w:ascii="Traditional Arabic" w:hAnsi="Traditional Arabic" w:cs="Traditional Arabic"/>
          <w:sz w:val="32"/>
          <w:szCs w:val="32"/>
          <w:rtl/>
        </w:rPr>
        <w:t xml:space="preserve"> من الكالسيوم يوميًا. تزيد هذه الكمية اليومية إلى 1200 </w:t>
      </w:r>
      <w:proofErr w:type="spellStart"/>
      <w:r w:rsidRPr="003A71FB">
        <w:rPr>
          <w:rFonts w:ascii="Traditional Arabic" w:hAnsi="Traditional Arabic" w:cs="Traditional Arabic"/>
          <w:sz w:val="32"/>
          <w:szCs w:val="32"/>
          <w:rtl/>
        </w:rPr>
        <w:t>ملليجرام</w:t>
      </w:r>
      <w:proofErr w:type="spellEnd"/>
      <w:r w:rsidRPr="003A71FB">
        <w:rPr>
          <w:rFonts w:ascii="Traditional Arabic" w:hAnsi="Traditional Arabic" w:cs="Traditional Arabic"/>
          <w:sz w:val="32"/>
          <w:szCs w:val="32"/>
          <w:rtl/>
        </w:rPr>
        <w:t xml:space="preserve"> عندما تصل النساء إلى 50 عامًا ويصل الرجال إلى 70 عامًا. تتضمن مصادر الكالسيوم الجيدة ما يلي:</w:t>
      </w:r>
    </w:p>
    <w:p w:rsidR="003A71FB" w:rsidRPr="003A71FB" w:rsidRDefault="003A71FB" w:rsidP="003A71FB">
      <w:pPr>
        <w:numPr>
          <w:ilvl w:val="0"/>
          <w:numId w:val="10"/>
        </w:numPr>
        <w:jc w:val="lowKashida"/>
        <w:rPr>
          <w:rFonts w:ascii="Traditional Arabic" w:hAnsi="Traditional Arabic" w:cs="Traditional Arabic"/>
          <w:sz w:val="32"/>
          <w:szCs w:val="32"/>
          <w:rtl/>
        </w:rPr>
      </w:pPr>
      <w:r w:rsidRPr="003A71FB">
        <w:rPr>
          <w:rFonts w:ascii="Traditional Arabic" w:hAnsi="Traditional Arabic" w:cs="Traditional Arabic"/>
          <w:sz w:val="32"/>
          <w:szCs w:val="32"/>
          <w:rtl/>
        </w:rPr>
        <w:t>منتجات الألبان منخفضة الدسم</w:t>
      </w:r>
    </w:p>
    <w:p w:rsidR="003A71FB" w:rsidRPr="003A71FB" w:rsidRDefault="003A71FB" w:rsidP="003A71FB">
      <w:pPr>
        <w:numPr>
          <w:ilvl w:val="0"/>
          <w:numId w:val="10"/>
        </w:numPr>
        <w:jc w:val="lowKashida"/>
        <w:rPr>
          <w:rFonts w:ascii="Traditional Arabic" w:hAnsi="Traditional Arabic" w:cs="Traditional Arabic"/>
          <w:sz w:val="32"/>
          <w:szCs w:val="32"/>
          <w:rtl/>
        </w:rPr>
      </w:pPr>
      <w:r w:rsidRPr="003A71FB">
        <w:rPr>
          <w:rFonts w:ascii="Traditional Arabic" w:hAnsi="Traditional Arabic" w:cs="Traditional Arabic"/>
          <w:sz w:val="32"/>
          <w:szCs w:val="32"/>
          <w:rtl/>
        </w:rPr>
        <w:t>الخضروات الورقية ذات اللون الأخضر الداكن</w:t>
      </w:r>
    </w:p>
    <w:p w:rsidR="003A71FB" w:rsidRPr="003A71FB" w:rsidRDefault="003A71FB" w:rsidP="003A71FB">
      <w:pPr>
        <w:numPr>
          <w:ilvl w:val="0"/>
          <w:numId w:val="10"/>
        </w:numPr>
        <w:jc w:val="lowKashida"/>
        <w:rPr>
          <w:rFonts w:ascii="Traditional Arabic" w:hAnsi="Traditional Arabic" w:cs="Traditional Arabic"/>
          <w:sz w:val="32"/>
          <w:szCs w:val="32"/>
          <w:rtl/>
        </w:rPr>
      </w:pPr>
      <w:r w:rsidRPr="003A71FB">
        <w:rPr>
          <w:rFonts w:ascii="Traditional Arabic" w:hAnsi="Traditional Arabic" w:cs="Traditional Arabic"/>
          <w:sz w:val="32"/>
          <w:szCs w:val="32"/>
          <w:rtl/>
        </w:rPr>
        <w:t>السلمون المُعلب أو السردين مع العظام</w:t>
      </w:r>
    </w:p>
    <w:p w:rsidR="003A71FB" w:rsidRPr="003A71FB" w:rsidRDefault="003A71FB" w:rsidP="003A71FB">
      <w:pPr>
        <w:numPr>
          <w:ilvl w:val="0"/>
          <w:numId w:val="10"/>
        </w:numPr>
        <w:jc w:val="lowKashida"/>
        <w:rPr>
          <w:rFonts w:ascii="Traditional Arabic" w:hAnsi="Traditional Arabic" w:cs="Traditional Arabic"/>
          <w:sz w:val="32"/>
          <w:szCs w:val="32"/>
          <w:rtl/>
        </w:rPr>
      </w:pPr>
      <w:r w:rsidRPr="003A71FB">
        <w:rPr>
          <w:rFonts w:ascii="Traditional Arabic" w:hAnsi="Traditional Arabic" w:cs="Traditional Arabic"/>
          <w:sz w:val="32"/>
          <w:szCs w:val="32"/>
          <w:rtl/>
        </w:rPr>
        <w:t>منتجات الصويا، مثل التوفو</w:t>
      </w:r>
    </w:p>
    <w:p w:rsidR="003A71FB" w:rsidRPr="003A71FB" w:rsidRDefault="003A71FB" w:rsidP="003A71FB">
      <w:pPr>
        <w:numPr>
          <w:ilvl w:val="0"/>
          <w:numId w:val="10"/>
        </w:numPr>
        <w:jc w:val="lowKashida"/>
        <w:rPr>
          <w:rFonts w:ascii="Traditional Arabic" w:hAnsi="Traditional Arabic" w:cs="Traditional Arabic"/>
          <w:sz w:val="32"/>
          <w:szCs w:val="32"/>
          <w:rtl/>
        </w:rPr>
      </w:pPr>
      <w:r w:rsidRPr="003A71FB">
        <w:rPr>
          <w:rFonts w:ascii="Traditional Arabic" w:hAnsi="Traditional Arabic" w:cs="Traditional Arabic"/>
          <w:sz w:val="32"/>
          <w:szCs w:val="32"/>
          <w:rtl/>
        </w:rPr>
        <w:t>الحبوب المُعززة بالكالسيوم وعصير البرتقال</w:t>
      </w:r>
    </w:p>
    <w:p w:rsidR="003A71FB" w:rsidRPr="003A71FB" w:rsidRDefault="003A71FB" w:rsidP="003A71FB">
      <w:pPr>
        <w:jc w:val="lowKashida"/>
        <w:rPr>
          <w:rFonts w:ascii="Traditional Arabic" w:hAnsi="Traditional Arabic" w:cs="Traditional Arabic"/>
          <w:sz w:val="32"/>
          <w:szCs w:val="32"/>
          <w:rtl/>
        </w:rPr>
      </w:pPr>
      <w:r w:rsidRPr="003A71FB">
        <w:rPr>
          <w:rFonts w:ascii="Traditional Arabic" w:hAnsi="Traditional Arabic" w:cs="Traditional Arabic"/>
          <w:sz w:val="32"/>
          <w:szCs w:val="32"/>
          <w:rtl/>
        </w:rPr>
        <w:t xml:space="preserve">إذا وجدت صعوبة في الحصول على ما يكفي من الكالسيوم من نظامك الغذائي، فضع في اعتبارك تناول مكملات الكالسيوم. مع ذلك، تناول الكثير من مكملات الكالسيوم تم ربطه بحصوات الكلى. على الرغم من أن الأمر ليس واضحًا حتى الآن، إلا أن بعض الخبراء يشيرون إلى أن تناول الكثير من الكالسيوم وخاصةً في المكملات الغذائية يمكن أن يزيد من خطر الإصابة بأمراض القلب. يوصي معهد الطب ألا يزيد تناول الكالسيوم الكلي، من المكملات الغذائية والنظام الغذائي معًا عن 2000 </w:t>
      </w:r>
      <w:proofErr w:type="spellStart"/>
      <w:r w:rsidRPr="003A71FB">
        <w:rPr>
          <w:rFonts w:ascii="Traditional Arabic" w:hAnsi="Traditional Arabic" w:cs="Traditional Arabic"/>
          <w:sz w:val="32"/>
          <w:szCs w:val="32"/>
          <w:rtl/>
        </w:rPr>
        <w:t>ملليجرام</w:t>
      </w:r>
      <w:proofErr w:type="spellEnd"/>
      <w:r w:rsidRPr="003A71FB">
        <w:rPr>
          <w:rFonts w:ascii="Traditional Arabic" w:hAnsi="Traditional Arabic" w:cs="Traditional Arabic"/>
          <w:sz w:val="32"/>
          <w:szCs w:val="32"/>
          <w:rtl/>
        </w:rPr>
        <w:t xml:space="preserve"> يوميًا للأشخاص الذين تزيد أعمارهم عن 50 عامًا.</w:t>
      </w:r>
    </w:p>
    <w:p w:rsidR="003A71FB" w:rsidRPr="003A71FB" w:rsidRDefault="003A71FB" w:rsidP="003A71FB">
      <w:pPr>
        <w:jc w:val="lowKashida"/>
        <w:rPr>
          <w:rFonts w:ascii="Traditional Arabic" w:hAnsi="Traditional Arabic" w:cs="Traditional Arabic"/>
          <w:b/>
          <w:bCs/>
          <w:sz w:val="32"/>
          <w:szCs w:val="32"/>
          <w:rtl/>
        </w:rPr>
      </w:pPr>
      <w:r w:rsidRPr="003A71FB">
        <w:rPr>
          <w:rFonts w:ascii="Traditional Arabic" w:hAnsi="Traditional Arabic" w:cs="Traditional Arabic"/>
          <w:b/>
          <w:bCs/>
          <w:sz w:val="32"/>
          <w:szCs w:val="32"/>
          <w:rtl/>
        </w:rPr>
        <w:t>فيتامين (د)</w:t>
      </w:r>
    </w:p>
    <w:p w:rsidR="003A71FB" w:rsidRPr="003A71FB" w:rsidRDefault="003A71FB" w:rsidP="003A71FB">
      <w:pPr>
        <w:jc w:val="lowKashida"/>
        <w:rPr>
          <w:rFonts w:ascii="Traditional Arabic" w:hAnsi="Traditional Arabic" w:cs="Traditional Arabic"/>
          <w:sz w:val="32"/>
          <w:szCs w:val="32"/>
          <w:rtl/>
        </w:rPr>
      </w:pPr>
      <w:r w:rsidRPr="003A71FB">
        <w:rPr>
          <w:rFonts w:ascii="Traditional Arabic" w:hAnsi="Traditional Arabic" w:cs="Traditional Arabic"/>
          <w:sz w:val="32"/>
          <w:szCs w:val="32"/>
          <w:rtl/>
        </w:rPr>
        <w:t>يُحسّن فيتامين (د) قدرة الجسم على امتصاص الكالسيوم ويُحسن من صحة العظام بطرق أخرى. يمكن للأشخاص الحصول على كميات كافية من فيتامين (د) من أشعة الشمس، ولكن هذا قد لا يكون مصدرًا جيدًا إذا كنت تعيش في مكان مرتفع، أو إذا كنت طريح الفراش، أو إذا كنت تستخدم واقيًا من الشمس بانتظام أو تتجنب أشعة الشمس بالكامل بسبب خطر الإصابة بسرطان الجلد.</w:t>
      </w:r>
    </w:p>
    <w:p w:rsidR="003A71FB" w:rsidRPr="003A71FB" w:rsidRDefault="003A71FB" w:rsidP="003A71FB">
      <w:pPr>
        <w:jc w:val="lowKashida"/>
        <w:rPr>
          <w:rFonts w:ascii="Traditional Arabic" w:hAnsi="Traditional Arabic" w:cs="Traditional Arabic"/>
          <w:sz w:val="32"/>
          <w:szCs w:val="32"/>
          <w:rtl/>
        </w:rPr>
      </w:pPr>
      <w:r w:rsidRPr="003A71FB">
        <w:rPr>
          <w:rFonts w:ascii="Traditional Arabic" w:hAnsi="Traditional Arabic" w:cs="Traditional Arabic"/>
          <w:sz w:val="32"/>
          <w:szCs w:val="32"/>
          <w:rtl/>
        </w:rPr>
        <w:t>لا يعرف العلماء حتى الآن الجرعة اليومية المثلى من فيتامين (د) لكل شخص. يمثل تناول 600 إلى 800 (وحدة دولية)يوميًا من خلال الطعام أو المكملات الغذائية نقطة بداية جيدة للبالغين. بالنسبة للأشخاص الذين ليس لديهم مصادر أخرى من فيتامين (د) وخاصة الذين لديهم تعرض محدود لأشعة الشمس، فقد تكون هناك حاجة إلى تناول مكمل. تحتوي منتجات الفيتامينات المتعددة ما بين 600 إلى 800 وحدة دولية من فيتامين (د). ويُعد تناول حتى 4000 وحدة دولية من فيتامين (د) يوميًا آمنًا بالنسبة لمعظم الأشخاص.</w:t>
      </w:r>
    </w:p>
    <w:p w:rsidR="003A71FB" w:rsidRPr="003A71FB" w:rsidRDefault="003A71FB" w:rsidP="003A71FB">
      <w:pPr>
        <w:jc w:val="lowKashida"/>
        <w:rPr>
          <w:rFonts w:ascii="Traditional Arabic" w:hAnsi="Traditional Arabic" w:cs="Traditional Arabic"/>
          <w:b/>
          <w:bCs/>
          <w:sz w:val="32"/>
          <w:szCs w:val="32"/>
          <w:rtl/>
        </w:rPr>
      </w:pPr>
      <w:r w:rsidRPr="003A71FB">
        <w:rPr>
          <w:rFonts w:ascii="Traditional Arabic" w:hAnsi="Traditional Arabic" w:cs="Traditional Arabic"/>
          <w:b/>
          <w:bCs/>
          <w:sz w:val="32"/>
          <w:szCs w:val="32"/>
          <w:rtl/>
        </w:rPr>
        <w:t>التمارين</w:t>
      </w:r>
    </w:p>
    <w:p w:rsidR="003A71FB" w:rsidRPr="003A71FB" w:rsidRDefault="003A71FB" w:rsidP="003A71FB">
      <w:pPr>
        <w:jc w:val="lowKashida"/>
        <w:rPr>
          <w:rFonts w:ascii="Traditional Arabic" w:hAnsi="Traditional Arabic" w:cs="Traditional Arabic"/>
          <w:sz w:val="32"/>
          <w:szCs w:val="32"/>
          <w:rtl/>
        </w:rPr>
      </w:pPr>
      <w:r w:rsidRPr="003A71FB">
        <w:rPr>
          <w:rFonts w:ascii="Traditional Arabic" w:hAnsi="Traditional Arabic" w:cs="Traditional Arabic"/>
          <w:sz w:val="32"/>
          <w:szCs w:val="32"/>
          <w:rtl/>
        </w:rPr>
        <w:t>يمكن أن تساعدك التمارين الرياضية في بناء عظام قوية وإبطاء فقدان العظم. سوف تُفيد التمارين الرياضية عظامك بغض النظر عن وقت البدء، ولكنك ستحصل على الفائدة الأكبر إذا بدأت ممارسة التمارين الرياضية بانتظام عندما تكون في شبابك وتستمر في ممارستها طوال حياتك.</w:t>
      </w:r>
    </w:p>
    <w:p w:rsidR="003A71FB" w:rsidRPr="003A71FB" w:rsidRDefault="003A71FB" w:rsidP="003A71FB">
      <w:pPr>
        <w:jc w:val="lowKashida"/>
        <w:rPr>
          <w:rFonts w:ascii="Traditional Arabic" w:hAnsi="Traditional Arabic" w:cs="Traditional Arabic"/>
          <w:sz w:val="32"/>
          <w:szCs w:val="32"/>
          <w:rtl/>
        </w:rPr>
      </w:pPr>
      <w:r w:rsidRPr="003A71FB">
        <w:rPr>
          <w:rFonts w:ascii="Traditional Arabic" w:hAnsi="Traditional Arabic" w:cs="Traditional Arabic"/>
          <w:sz w:val="32"/>
          <w:szCs w:val="32"/>
          <w:rtl/>
        </w:rPr>
        <w:t>اجمع بين تدريب القوة مع تدريبات تحمل الوزن وتمارين تحقيق التوازن. يؤثر تدريب القوة المساعدة على تقوية العضلات والعظام في ذراعيك وعمودك الفقري، كما أن تدريبات تحمل الوزن — مثل المشي والركض والجري وتسلق الدرج ونط الحبل والتزلج والرياضات المسببة للصدمات — بشكل أساسي على العظام في الساقين والوركين وأسفل العمود الفقري. يمكن أن تقلل تمارين تحقيق التوازن مثل رياضة تاي تشي من مخاطر تعرضك للسقوط في أثناء تقدمك في العمر.</w:t>
      </w:r>
    </w:p>
    <w:p w:rsidR="003A71FB" w:rsidRPr="003A71FB" w:rsidRDefault="003A71FB" w:rsidP="003A71FB">
      <w:pPr>
        <w:jc w:val="lowKashida"/>
        <w:rPr>
          <w:rFonts w:ascii="Traditional Arabic" w:hAnsi="Traditional Arabic" w:cs="Traditional Arabic"/>
          <w:sz w:val="32"/>
          <w:szCs w:val="32"/>
          <w:rtl/>
        </w:rPr>
      </w:pPr>
      <w:r w:rsidRPr="003A71FB">
        <w:rPr>
          <w:rFonts w:ascii="Traditional Arabic" w:hAnsi="Traditional Arabic" w:cs="Traditional Arabic"/>
          <w:sz w:val="32"/>
          <w:szCs w:val="32"/>
          <w:rtl/>
        </w:rPr>
        <w:t xml:space="preserve">يمكن أن توفر السباحة وركوب الدراجات وممارسة التمارين على آلات مثل أجهزة </w:t>
      </w:r>
      <w:proofErr w:type="spellStart"/>
      <w:r w:rsidRPr="003A71FB">
        <w:rPr>
          <w:rFonts w:ascii="Traditional Arabic" w:hAnsi="Traditional Arabic" w:cs="Traditional Arabic"/>
          <w:sz w:val="32"/>
          <w:szCs w:val="32"/>
          <w:rtl/>
        </w:rPr>
        <w:t>الإليبتكال</w:t>
      </w:r>
      <w:proofErr w:type="spellEnd"/>
      <w:r w:rsidRPr="003A71FB">
        <w:rPr>
          <w:rFonts w:ascii="Traditional Arabic" w:hAnsi="Traditional Arabic" w:cs="Traditional Arabic"/>
          <w:sz w:val="32"/>
          <w:szCs w:val="32"/>
          <w:rtl/>
        </w:rPr>
        <w:t xml:space="preserve"> تمرينًا جيدًا للقلب والأوعية الدموية، ولكنها لا تساعد في تحسين صحة العظام.</w:t>
      </w:r>
    </w:p>
    <w:p w:rsidR="003A71FB" w:rsidRPr="003A71FB" w:rsidRDefault="003A71FB" w:rsidP="003A71FB">
      <w:pPr>
        <w:jc w:val="lowKashida"/>
        <w:rPr>
          <w:rFonts w:ascii="Traditional Arabic" w:hAnsi="Traditional Arabic" w:cs="Traditional Arabic"/>
          <w:sz w:val="32"/>
          <w:szCs w:val="32"/>
        </w:rPr>
      </w:pPr>
    </w:p>
    <w:sectPr w:rsidR="003A71FB" w:rsidRPr="003A71FB" w:rsidSect="001C06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D69"/>
    <w:multiLevelType w:val="multilevel"/>
    <w:tmpl w:val="4660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736A9"/>
    <w:multiLevelType w:val="multilevel"/>
    <w:tmpl w:val="549C5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0D4961"/>
    <w:multiLevelType w:val="multilevel"/>
    <w:tmpl w:val="8FF0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733A31"/>
    <w:multiLevelType w:val="multilevel"/>
    <w:tmpl w:val="4A088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3A1FCF"/>
    <w:multiLevelType w:val="multilevel"/>
    <w:tmpl w:val="F0EE5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C91EE3"/>
    <w:multiLevelType w:val="multilevel"/>
    <w:tmpl w:val="69705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F37C39"/>
    <w:multiLevelType w:val="multilevel"/>
    <w:tmpl w:val="D99E2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AF7C40"/>
    <w:multiLevelType w:val="multilevel"/>
    <w:tmpl w:val="03F6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274B3A"/>
    <w:multiLevelType w:val="multilevel"/>
    <w:tmpl w:val="51E40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2604EB"/>
    <w:multiLevelType w:val="multilevel"/>
    <w:tmpl w:val="C90A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3"/>
  </w:num>
  <w:num w:numId="4">
    <w:abstractNumId w:val="4"/>
  </w:num>
  <w:num w:numId="5">
    <w:abstractNumId w:val="9"/>
  </w:num>
  <w:num w:numId="6">
    <w:abstractNumId w:val="6"/>
  </w:num>
  <w:num w:numId="7">
    <w:abstractNumId w:val="0"/>
  </w:num>
  <w:num w:numId="8">
    <w:abstractNumId w:val="7"/>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1FB"/>
    <w:rsid w:val="001C068D"/>
    <w:rsid w:val="003A71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2532F"/>
  <w15:chartTrackingRefBased/>
  <w15:docId w15:val="{F5DE7B53-0364-4E16-A485-FEF47330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A71FB"/>
    <w:rPr>
      <w:color w:val="0563C1" w:themeColor="hyperlink"/>
      <w:u w:val="single"/>
    </w:rPr>
  </w:style>
  <w:style w:type="character" w:styleId="a3">
    <w:name w:val="Unresolved Mention"/>
    <w:basedOn w:val="a0"/>
    <w:uiPriority w:val="99"/>
    <w:semiHidden/>
    <w:unhideWhenUsed/>
    <w:rsid w:val="003A7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302513">
      <w:bodyDiv w:val="1"/>
      <w:marLeft w:val="0"/>
      <w:marRight w:val="0"/>
      <w:marTop w:val="0"/>
      <w:marBottom w:val="0"/>
      <w:divBdr>
        <w:top w:val="none" w:sz="0" w:space="0" w:color="auto"/>
        <w:left w:val="none" w:sz="0" w:space="0" w:color="auto"/>
        <w:bottom w:val="none" w:sz="0" w:space="0" w:color="auto"/>
        <w:right w:val="none" w:sz="0" w:space="0" w:color="auto"/>
      </w:divBdr>
      <w:divsChild>
        <w:div w:id="1143544762">
          <w:marLeft w:val="0"/>
          <w:marRight w:val="0"/>
          <w:marTop w:val="360"/>
          <w:marBottom w:val="720"/>
          <w:divBdr>
            <w:top w:val="none" w:sz="0" w:space="0" w:color="auto"/>
            <w:left w:val="none" w:sz="0" w:space="0" w:color="auto"/>
            <w:bottom w:val="none" w:sz="0" w:space="0" w:color="auto"/>
            <w:right w:val="none" w:sz="0" w:space="0" w:color="auto"/>
          </w:divBdr>
        </w:div>
        <w:div w:id="1270969480">
          <w:marLeft w:val="0"/>
          <w:marRight w:val="350"/>
          <w:marTop w:val="0"/>
          <w:marBottom w:val="350"/>
          <w:divBdr>
            <w:top w:val="none" w:sz="0" w:space="0" w:color="auto"/>
            <w:left w:val="none" w:sz="0" w:space="0" w:color="auto"/>
            <w:bottom w:val="none" w:sz="0" w:space="0" w:color="auto"/>
            <w:right w:val="none" w:sz="0" w:space="0" w:color="auto"/>
          </w:divBdr>
          <w:divsChild>
            <w:div w:id="116412420">
              <w:marLeft w:val="0"/>
              <w:marRight w:val="0"/>
              <w:marTop w:val="0"/>
              <w:marBottom w:val="180"/>
              <w:divBdr>
                <w:top w:val="none" w:sz="0" w:space="0" w:color="auto"/>
                <w:left w:val="none" w:sz="0" w:space="0" w:color="auto"/>
                <w:bottom w:val="none" w:sz="0" w:space="0" w:color="auto"/>
                <w:right w:val="none" w:sz="0" w:space="0" w:color="auto"/>
              </w:divBdr>
            </w:div>
            <w:div w:id="1476288724">
              <w:marLeft w:val="0"/>
              <w:marRight w:val="0"/>
              <w:marTop w:val="0"/>
              <w:marBottom w:val="0"/>
              <w:divBdr>
                <w:top w:val="none" w:sz="0" w:space="0" w:color="auto"/>
                <w:left w:val="none" w:sz="0" w:space="0" w:color="auto"/>
                <w:bottom w:val="none" w:sz="0" w:space="0" w:color="auto"/>
                <w:right w:val="none" w:sz="0" w:space="0" w:color="auto"/>
              </w:divBdr>
            </w:div>
          </w:divsChild>
        </w:div>
        <w:div w:id="1100493120">
          <w:marLeft w:val="0"/>
          <w:marRight w:val="350"/>
          <w:marTop w:val="0"/>
          <w:marBottom w:val="350"/>
          <w:divBdr>
            <w:top w:val="none" w:sz="0" w:space="0" w:color="auto"/>
            <w:left w:val="none" w:sz="0" w:space="0" w:color="auto"/>
            <w:bottom w:val="none" w:sz="0" w:space="0" w:color="auto"/>
            <w:right w:val="none" w:sz="0" w:space="0" w:color="auto"/>
          </w:divBdr>
          <w:divsChild>
            <w:div w:id="998117745">
              <w:marLeft w:val="0"/>
              <w:marRight w:val="0"/>
              <w:marTop w:val="0"/>
              <w:marBottom w:val="180"/>
              <w:divBdr>
                <w:top w:val="none" w:sz="0" w:space="0" w:color="auto"/>
                <w:left w:val="none" w:sz="0" w:space="0" w:color="auto"/>
                <w:bottom w:val="none" w:sz="0" w:space="0" w:color="auto"/>
                <w:right w:val="none" w:sz="0" w:space="0" w:color="auto"/>
              </w:divBdr>
            </w:div>
            <w:div w:id="5981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yoclinic.org/-/media/kcms/gbs/patient-consumer/images/2013/08/26/11/10/ds00128_im04628_mcdc7_osteoporosis-_vertebrathu_jpg.jpg"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1325</Words>
  <Characters>7558</Characters>
  <Application>Microsoft Office Word</Application>
  <DocSecurity>0</DocSecurity>
  <Lines>62</Lines>
  <Paragraphs>17</Paragraphs>
  <ScaleCrop>false</ScaleCrop>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2018-11-25T16:17:00Z</dcterms:created>
  <dcterms:modified xsi:type="dcterms:W3CDTF">2018-11-25T16:18:00Z</dcterms:modified>
</cp:coreProperties>
</file>