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89" w:rsidRPr="00260A78" w:rsidRDefault="00894389" w:rsidP="00260A78">
      <w:pPr>
        <w:spacing w:line="360" w:lineRule="auto"/>
        <w:jc w:val="center"/>
        <w:rPr>
          <w:rFonts w:ascii="Traditional Arabic" w:hAnsi="Traditional Arabic" w:cs="Traditional Arabic"/>
          <w:b/>
          <w:bCs/>
          <w:sz w:val="40"/>
          <w:szCs w:val="40"/>
          <w:rtl/>
        </w:rPr>
      </w:pPr>
      <w:bookmarkStart w:id="0" w:name="_GoBack"/>
      <w:r w:rsidRPr="00260A78">
        <w:rPr>
          <w:rFonts w:ascii="Traditional Arabic" w:hAnsi="Traditional Arabic" w:cs="Traditional Arabic"/>
          <w:b/>
          <w:bCs/>
          <w:sz w:val="40"/>
          <w:szCs w:val="40"/>
          <w:rtl/>
        </w:rPr>
        <w:t>تصنيف العناصر</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 xml:space="preserve"> قامت العديد من المحاولات من أجل تصنيف العناصر في جداول لتسهيل دراستها، ومن ضمن هذه المحاولات محاولة برزيليوس الذي قسم العناصر إلى فلزات ولا فلزات، ومحاولة منديلف الذي ريتب العناصر ترتيباً تصاعدياً بحسب إعدادها الذرية، إضافة إلى الجدول الدوري الطويل الذي رتب العناصر بشكل يتفق مع مبدأ البناء التصاعدي، والذي يتم اعتماده حالياً في الدراسة والبحث. </w:t>
      </w:r>
    </w:p>
    <w:p w:rsidR="00894389" w:rsidRPr="00260A78" w:rsidRDefault="00894389" w:rsidP="00260A78">
      <w:pPr>
        <w:spacing w:line="360" w:lineRule="auto"/>
        <w:jc w:val="mediumKashida"/>
        <w:rPr>
          <w:rFonts w:ascii="Traditional Arabic" w:hAnsi="Traditional Arabic" w:cs="Traditional Arabic"/>
          <w:b/>
          <w:bCs/>
          <w:sz w:val="40"/>
          <w:szCs w:val="40"/>
          <w:rtl/>
        </w:rPr>
      </w:pPr>
      <w:r w:rsidRPr="00260A78">
        <w:rPr>
          <w:rFonts w:ascii="Traditional Arabic" w:hAnsi="Traditional Arabic" w:cs="Traditional Arabic"/>
          <w:b/>
          <w:bCs/>
          <w:sz w:val="40"/>
          <w:szCs w:val="40"/>
          <w:rtl/>
        </w:rPr>
        <w:t>الجدول الدوري</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 xml:space="preserve"> يشتمل الجدول الدوري على سبع دورات أفقية، بحيث توجد ثماني مجموعات رأسية تُشكل عناصر المجموعة </w:t>
      </w:r>
      <w:r w:rsidRPr="00260A78">
        <w:rPr>
          <w:rFonts w:ascii="Traditional Arabic" w:hAnsi="Traditional Arabic" w:cs="Traditional Arabic"/>
          <w:sz w:val="40"/>
          <w:szCs w:val="40"/>
        </w:rPr>
        <w:t>A</w:t>
      </w:r>
      <w:r w:rsidRPr="00260A78">
        <w:rPr>
          <w:rFonts w:ascii="Traditional Arabic" w:hAnsi="Traditional Arabic" w:cs="Traditional Arabic"/>
          <w:sz w:val="40"/>
          <w:szCs w:val="40"/>
          <w:rtl/>
        </w:rPr>
        <w:t xml:space="preserve">، كما توجد عشر مجموعات رأسية تُشكل العناصر الانتقالية، وفي أسفل الجدول توجد مجموعة اللانثانيدات والأكتينيدات، وتُجزأ عناصر الجدول الدوري إلى أربع فئات هي عناصر الفئة </w:t>
      </w:r>
      <w:r w:rsidRPr="00260A78">
        <w:rPr>
          <w:rFonts w:ascii="Traditional Arabic" w:hAnsi="Traditional Arabic" w:cs="Traditional Arabic"/>
          <w:sz w:val="40"/>
          <w:szCs w:val="40"/>
        </w:rPr>
        <w:t>S</w:t>
      </w:r>
      <w:r w:rsidRPr="00260A78">
        <w:rPr>
          <w:rFonts w:ascii="Traditional Arabic" w:hAnsi="Traditional Arabic" w:cs="Traditional Arabic"/>
          <w:sz w:val="40"/>
          <w:szCs w:val="40"/>
          <w:rtl/>
        </w:rPr>
        <w:t xml:space="preserve">، وتكون في يسار الجدول، وعناصر الفئة </w:t>
      </w:r>
      <w:r w:rsidRPr="00260A78">
        <w:rPr>
          <w:rFonts w:ascii="Traditional Arabic" w:hAnsi="Traditional Arabic" w:cs="Traditional Arabic"/>
          <w:sz w:val="40"/>
          <w:szCs w:val="40"/>
        </w:rPr>
        <w:t>p</w:t>
      </w:r>
      <w:r w:rsidRPr="00260A78">
        <w:rPr>
          <w:rFonts w:ascii="Traditional Arabic" w:hAnsi="Traditional Arabic" w:cs="Traditional Arabic"/>
          <w:sz w:val="40"/>
          <w:szCs w:val="40"/>
          <w:rtl/>
        </w:rPr>
        <w:t xml:space="preserve">، وتكون في يمين الجدول، وعناصر الفئة </w:t>
      </w:r>
      <w:r w:rsidRPr="00260A78">
        <w:rPr>
          <w:rFonts w:ascii="Traditional Arabic" w:hAnsi="Traditional Arabic" w:cs="Traditional Arabic"/>
          <w:sz w:val="40"/>
          <w:szCs w:val="40"/>
        </w:rPr>
        <w:t>d</w:t>
      </w:r>
      <w:r w:rsidRPr="00260A78">
        <w:rPr>
          <w:rFonts w:ascii="Traditional Arabic" w:hAnsi="Traditional Arabic" w:cs="Traditional Arabic"/>
          <w:sz w:val="40"/>
          <w:szCs w:val="40"/>
          <w:rtl/>
        </w:rPr>
        <w:t xml:space="preserve">، وعناصر الفئة </w:t>
      </w:r>
      <w:r w:rsidRPr="00260A78">
        <w:rPr>
          <w:rFonts w:ascii="Traditional Arabic" w:hAnsi="Traditional Arabic" w:cs="Traditional Arabic"/>
          <w:sz w:val="40"/>
          <w:szCs w:val="40"/>
        </w:rPr>
        <w:t>f</w:t>
      </w:r>
      <w:r w:rsidRPr="00260A78">
        <w:rPr>
          <w:rFonts w:ascii="Traditional Arabic" w:hAnsi="Traditional Arabic" w:cs="Traditional Arabic"/>
          <w:sz w:val="40"/>
          <w:szCs w:val="40"/>
          <w:rtl/>
        </w:rPr>
        <w:t xml:space="preserve">. أنواع العناصر العناصر النبيلة: يُطلق عليها اسم الغازات الخاملة، وتنتمي إلى عناصر المجموعة </w:t>
      </w:r>
      <w:r w:rsidRPr="00260A78">
        <w:rPr>
          <w:rFonts w:ascii="Traditional Arabic" w:hAnsi="Traditional Arabic" w:cs="Traditional Arabic"/>
          <w:sz w:val="40"/>
          <w:szCs w:val="40"/>
          <w:rtl/>
        </w:rPr>
        <w:lastRenderedPageBreak/>
        <w:t xml:space="preserve">"صفر"، ويُصنف تركيبها الإلكتروني الأخير </w:t>
      </w:r>
      <w:r w:rsidRPr="00260A78">
        <w:rPr>
          <w:rFonts w:ascii="Traditional Arabic" w:hAnsi="Traditional Arabic" w:cs="Traditional Arabic"/>
          <w:sz w:val="40"/>
          <w:szCs w:val="40"/>
        </w:rPr>
        <w:t>np6 ns2</w:t>
      </w:r>
      <w:r w:rsidRPr="00260A78">
        <w:rPr>
          <w:rFonts w:ascii="Traditional Arabic" w:hAnsi="Traditional Arabic" w:cs="Traditional Arabic"/>
          <w:sz w:val="40"/>
          <w:szCs w:val="40"/>
          <w:rtl/>
        </w:rPr>
        <w:t xml:space="preserve"> إضافة إلى الهيليوم </w:t>
      </w:r>
      <w:r w:rsidRPr="00260A78">
        <w:rPr>
          <w:rFonts w:ascii="Traditional Arabic" w:hAnsi="Traditional Arabic" w:cs="Traditional Arabic"/>
          <w:sz w:val="40"/>
          <w:szCs w:val="40"/>
        </w:rPr>
        <w:t>s21</w:t>
      </w:r>
      <w:r w:rsidRPr="00260A78">
        <w:rPr>
          <w:rFonts w:ascii="Traditional Arabic" w:hAnsi="Traditional Arabic" w:cs="Traditional Arabic"/>
          <w:sz w:val="40"/>
          <w:szCs w:val="40"/>
          <w:rtl/>
        </w:rPr>
        <w:t xml:space="preserve"> ، وتتميز مستويات الطاقة بها بالامتلاء.</w:t>
      </w:r>
    </w:p>
    <w:p w:rsidR="00894389" w:rsidRPr="00260A78" w:rsidRDefault="00894389" w:rsidP="00260A78">
      <w:pPr>
        <w:spacing w:line="360" w:lineRule="auto"/>
        <w:jc w:val="mediumKashida"/>
        <w:rPr>
          <w:rFonts w:ascii="Traditional Arabic" w:hAnsi="Traditional Arabic" w:cs="Traditional Arabic"/>
          <w:b/>
          <w:bCs/>
          <w:sz w:val="40"/>
          <w:szCs w:val="40"/>
          <w:rtl/>
        </w:rPr>
      </w:pPr>
      <w:r w:rsidRPr="00260A78">
        <w:rPr>
          <w:rFonts w:ascii="Traditional Arabic" w:hAnsi="Traditional Arabic" w:cs="Traditional Arabic"/>
          <w:b/>
          <w:bCs/>
          <w:sz w:val="40"/>
          <w:szCs w:val="40"/>
          <w:rtl/>
        </w:rPr>
        <w:t xml:space="preserve"> العناصر المثالية:</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 xml:space="preserve"> وتتمثل في عناصر الفئة "</w:t>
      </w:r>
      <w:r w:rsidRPr="00260A78">
        <w:rPr>
          <w:rFonts w:ascii="Traditional Arabic" w:hAnsi="Traditional Arabic" w:cs="Traditional Arabic"/>
          <w:sz w:val="40"/>
          <w:szCs w:val="40"/>
        </w:rPr>
        <w:t>S</w:t>
      </w:r>
      <w:r w:rsidRPr="00260A78">
        <w:rPr>
          <w:rFonts w:ascii="Traditional Arabic" w:hAnsi="Traditional Arabic" w:cs="Traditional Arabic"/>
          <w:sz w:val="40"/>
          <w:szCs w:val="40"/>
          <w:rtl/>
        </w:rPr>
        <w:t>"، والفئة "</w:t>
      </w:r>
      <w:r w:rsidRPr="00260A78">
        <w:rPr>
          <w:rFonts w:ascii="Traditional Arabic" w:hAnsi="Traditional Arabic" w:cs="Traditional Arabic"/>
          <w:sz w:val="40"/>
          <w:szCs w:val="40"/>
        </w:rPr>
        <w:t>p</w:t>
      </w:r>
      <w:r w:rsidRPr="00260A78">
        <w:rPr>
          <w:rFonts w:ascii="Traditional Arabic" w:hAnsi="Traditional Arabic" w:cs="Traditional Arabic"/>
          <w:sz w:val="40"/>
          <w:szCs w:val="40"/>
          <w:rtl/>
        </w:rPr>
        <w:t xml:space="preserve">"، باستثناء الغازات الخاملة، وهي تمتاز بامتلاء كافة مستويات الطاقة باستثناء المستوى الأخير. </w:t>
      </w:r>
    </w:p>
    <w:p w:rsidR="00894389" w:rsidRPr="00260A78" w:rsidRDefault="00894389" w:rsidP="00260A78">
      <w:pPr>
        <w:spacing w:line="360" w:lineRule="auto"/>
        <w:jc w:val="mediumKashida"/>
        <w:rPr>
          <w:rFonts w:ascii="Traditional Arabic" w:hAnsi="Traditional Arabic" w:cs="Traditional Arabic"/>
          <w:b/>
          <w:bCs/>
          <w:sz w:val="40"/>
          <w:szCs w:val="40"/>
          <w:rtl/>
        </w:rPr>
      </w:pPr>
      <w:r w:rsidRPr="00260A78">
        <w:rPr>
          <w:rFonts w:ascii="Traditional Arabic" w:hAnsi="Traditional Arabic" w:cs="Traditional Arabic"/>
          <w:b/>
          <w:bCs/>
          <w:sz w:val="40"/>
          <w:szCs w:val="40"/>
          <w:rtl/>
        </w:rPr>
        <w:t>العناصر الانتقالية الرئيسية:</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 xml:space="preserve"> تتمثل في عناصر الفئة </w:t>
      </w:r>
      <w:r w:rsidRPr="00260A78">
        <w:rPr>
          <w:rFonts w:ascii="Traditional Arabic" w:hAnsi="Traditional Arabic" w:cs="Traditional Arabic"/>
          <w:sz w:val="40"/>
          <w:szCs w:val="40"/>
        </w:rPr>
        <w:t>d</w:t>
      </w:r>
      <w:r w:rsidRPr="00260A78">
        <w:rPr>
          <w:rFonts w:ascii="Traditional Arabic" w:hAnsi="Traditional Arabic" w:cs="Traditional Arabic"/>
          <w:sz w:val="40"/>
          <w:szCs w:val="40"/>
          <w:rtl/>
        </w:rPr>
        <w:t>، وتتميز بامتلاء كافة مستويات الطاقة باستثناء الأخيرين منها.</w:t>
      </w:r>
    </w:p>
    <w:p w:rsidR="00894389" w:rsidRPr="00260A78" w:rsidRDefault="00894389" w:rsidP="00260A78">
      <w:pPr>
        <w:spacing w:line="360" w:lineRule="auto"/>
        <w:jc w:val="mediumKashida"/>
        <w:rPr>
          <w:rFonts w:ascii="Traditional Arabic" w:hAnsi="Traditional Arabic" w:cs="Traditional Arabic"/>
          <w:b/>
          <w:bCs/>
          <w:sz w:val="40"/>
          <w:szCs w:val="40"/>
          <w:rtl/>
        </w:rPr>
      </w:pPr>
      <w:r w:rsidRPr="00260A78">
        <w:rPr>
          <w:rFonts w:ascii="Traditional Arabic" w:hAnsi="Traditional Arabic" w:cs="Traditional Arabic"/>
          <w:b/>
          <w:bCs/>
          <w:sz w:val="40"/>
          <w:szCs w:val="40"/>
          <w:rtl/>
        </w:rPr>
        <w:t xml:space="preserve"> العناصر الانتقالية الداخلية: </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 xml:space="preserve">تتمثل في عناصر الفئة </w:t>
      </w:r>
      <w:r w:rsidRPr="00260A78">
        <w:rPr>
          <w:rFonts w:ascii="Traditional Arabic" w:hAnsi="Traditional Arabic" w:cs="Traditional Arabic"/>
          <w:sz w:val="40"/>
          <w:szCs w:val="40"/>
        </w:rPr>
        <w:t>f</w:t>
      </w:r>
      <w:r w:rsidRPr="00260A78">
        <w:rPr>
          <w:rFonts w:ascii="Traditional Arabic" w:hAnsi="Traditional Arabic" w:cs="Traditional Arabic"/>
          <w:sz w:val="40"/>
          <w:szCs w:val="40"/>
          <w:rtl/>
        </w:rPr>
        <w:t xml:space="preserve">، وتتميز بامتلاء كافة مستوياتها باستثناء آخر ثلاثة مستويات. نصف قطر الذرة يندرج نصف قطر الذرة في الجدول في الأماكن الآتية: </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lastRenderedPageBreak/>
        <w:t>في الدورات الأفقية: هنا ينخفض نصف القطر كلما زاد العدد الذري؛ فكلما ازدادت شحنة النواة الموجبة ازدادت قوة جذب النواة لإلكترونات التكافؤ، مما يؤدي إلى تقليل قطر الذرة.</w:t>
      </w:r>
    </w:p>
    <w:p w:rsidR="00894389" w:rsidRPr="00260A78"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 xml:space="preserve"> في المجموعات الرأسية: هنا يتزايد نصف قطر الذرة كلما زاد العدد الذري.</w:t>
      </w:r>
    </w:p>
    <w:p w:rsidR="00894389" w:rsidRPr="00260A78" w:rsidRDefault="00894389" w:rsidP="00260A78">
      <w:pPr>
        <w:spacing w:line="360" w:lineRule="auto"/>
        <w:jc w:val="mediumKashida"/>
        <w:rPr>
          <w:rFonts w:ascii="Traditional Arabic" w:hAnsi="Traditional Arabic" w:cs="Traditional Arabic"/>
          <w:b/>
          <w:bCs/>
          <w:sz w:val="40"/>
          <w:szCs w:val="40"/>
          <w:rtl/>
        </w:rPr>
      </w:pPr>
      <w:r w:rsidRPr="00260A78">
        <w:rPr>
          <w:rFonts w:ascii="Traditional Arabic" w:hAnsi="Traditional Arabic" w:cs="Traditional Arabic"/>
          <w:b/>
          <w:bCs/>
          <w:sz w:val="40"/>
          <w:szCs w:val="40"/>
          <w:rtl/>
        </w:rPr>
        <w:t xml:space="preserve"> جهد التأين </w:t>
      </w:r>
    </w:p>
    <w:p w:rsidR="00894389" w:rsidRDefault="00894389" w:rsidP="00260A78">
      <w:pPr>
        <w:spacing w:line="360" w:lineRule="auto"/>
        <w:jc w:val="mediumKashida"/>
        <w:rPr>
          <w:rFonts w:ascii="Traditional Arabic" w:hAnsi="Traditional Arabic" w:cs="Traditional Arabic"/>
          <w:sz w:val="40"/>
          <w:szCs w:val="40"/>
          <w:rtl/>
        </w:rPr>
      </w:pPr>
      <w:r w:rsidRPr="00260A78">
        <w:rPr>
          <w:rFonts w:ascii="Traditional Arabic" w:hAnsi="Traditional Arabic" w:cs="Traditional Arabic"/>
          <w:sz w:val="40"/>
          <w:szCs w:val="40"/>
          <w:rtl/>
        </w:rPr>
        <w:t>هو كمية الطاقة اللازمة من أجل فصل الإلكترونات القليلة الترابط بالذرة المفردة، وتكون في الحالة الغازية على شكل (</w:t>
      </w:r>
      <w:r w:rsidRPr="00260A78">
        <w:rPr>
          <w:rFonts w:ascii="Traditional Arabic" w:hAnsi="Traditional Arabic" w:cs="Traditional Arabic"/>
          <w:sz w:val="40"/>
          <w:szCs w:val="40"/>
        </w:rPr>
        <w:t>X+ + è</w:t>
      </w:r>
      <w:r w:rsidRPr="00260A78">
        <w:rPr>
          <w:rFonts w:ascii="Traditional Arabic" w:hAnsi="Traditional Arabic" w:cs="Traditional Arabic"/>
          <w:sz w:val="40"/>
          <w:szCs w:val="40"/>
          <w:rtl/>
        </w:rPr>
        <w:t xml:space="preserve"> &gt;------ طاقة تأين </w:t>
      </w:r>
      <w:r w:rsidRPr="00260A78">
        <w:rPr>
          <w:rFonts w:ascii="Traditional Arabic" w:hAnsi="Traditional Arabic" w:cs="Traditional Arabic"/>
          <w:sz w:val="40"/>
          <w:szCs w:val="40"/>
        </w:rPr>
        <w:t>X</w:t>
      </w:r>
      <w:r w:rsidRPr="00260A78">
        <w:rPr>
          <w:rFonts w:ascii="Traditional Arabic" w:hAnsi="Traditional Arabic" w:cs="Traditional Arabic"/>
          <w:sz w:val="40"/>
          <w:szCs w:val="40"/>
          <w:rtl/>
        </w:rPr>
        <w:t>)+(إلكترون) (أيون موجب) (ذرة)، كما يتم تعيين جهد التأين بواسطة القياسات الطيفية، وتُصنف هذه الخاصية في الجدول الدوري في الدورات الأفقية، وهنا ترتفع قيم جهد التأين بارتفاع العدد الذري، ويعود السبب في ذلك إلى انخفاض قطر الذرة، وارتفاع الشحنة الموجبة، مما يؤدي إلى ارتفاع قوى الجذب، كما تُصنف في المجموعات الرأسية، حيث ينخفض جهد التأين بارتفاع العدد الذري، ويعود السبب في ذلك إلى إلى ازدياد نصف قطر الذرة وذلك نتيجة لازدياد الأغلفة.</w:t>
      </w:r>
    </w:p>
    <w:bookmarkEnd w:id="0"/>
    <w:p w:rsidR="002B7A77" w:rsidRPr="00260A78" w:rsidRDefault="002B7A77" w:rsidP="00260A78">
      <w:pPr>
        <w:spacing w:line="360" w:lineRule="auto"/>
        <w:jc w:val="mediumKashida"/>
        <w:rPr>
          <w:rFonts w:ascii="Traditional Arabic" w:hAnsi="Traditional Arabic" w:cs="Traditional Arabic"/>
          <w:sz w:val="40"/>
          <w:szCs w:val="40"/>
          <w:rtl/>
        </w:rPr>
      </w:pPr>
    </w:p>
    <w:sectPr w:rsidR="002B7A77" w:rsidRPr="00260A78" w:rsidSect="00260A7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89"/>
    <w:rsid w:val="00260A78"/>
    <w:rsid w:val="002B7A77"/>
    <w:rsid w:val="006A054E"/>
    <w:rsid w:val="007F0A4F"/>
    <w:rsid w:val="00894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DFEA"/>
  <w15:chartTrackingRefBased/>
  <w15:docId w15:val="{F6DBC0E8-E362-412F-BEEF-7CB2EA32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3</cp:revision>
  <cp:lastPrinted>2018-09-30T16:58:00Z</cp:lastPrinted>
  <dcterms:created xsi:type="dcterms:W3CDTF">2018-11-20T14:30:00Z</dcterms:created>
  <dcterms:modified xsi:type="dcterms:W3CDTF">2019-05-29T02:44:00Z</dcterms:modified>
</cp:coreProperties>
</file>