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s="Sakkal Majalla"/>
          <w:color w:val="5B9BD5" w:themeColor="accent1"/>
          <w:szCs w:val="32"/>
          <w:rtl/>
        </w:rPr>
        <w:id w:val="-860510336"/>
        <w:docPartObj>
          <w:docPartGallery w:val="Cover Pages"/>
          <w:docPartUnique/>
        </w:docPartObj>
      </w:sdtPr>
      <w:sdtEndPr>
        <w:rPr>
          <w:rFonts w:ascii="Traditional Arabic" w:hAnsi="Traditional Arabic" w:cs="Traditional Arabic"/>
          <w:b/>
          <w:bCs/>
          <w:color w:val="auto"/>
          <w:sz w:val="36"/>
          <w:szCs w:val="36"/>
          <w:u w:val="single"/>
          <w:rtl w:val="0"/>
        </w:rPr>
      </w:sdtEndPr>
      <w:sdtContent>
        <w:p w:rsidR="00FB76FF" w:rsidRDefault="00FB76FF">
          <w:pPr>
            <w:pStyle w:val="NoSpacing"/>
            <w:spacing w:before="1540" w:after="240"/>
            <w:jc w:val="center"/>
            <w:rPr>
              <w:color w:val="5B9BD5" w:themeColor="accent1"/>
            </w:rPr>
          </w:pPr>
          <w:r>
            <w:rPr>
              <w:noProof/>
              <w:color w:val="5B9BD5" w:themeColor="accent1"/>
            </w:rPr>
            <w:drawing>
              <wp:inline distT="0" distB="0" distL="0" distR="0" wp14:anchorId="30D1318D" wp14:editId="6466CCB5">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8"/>
              <w:szCs w:val="108"/>
              <w:rtl/>
            </w:rPr>
            <w:alias w:val="العنوان"/>
            <w:tag w:val=""/>
            <w:id w:val="1735040861"/>
            <w:placeholder>
              <w:docPart w:val="3340B676A414473988022CF2689EFA62"/>
            </w:placeholder>
            <w:dataBinding w:prefixMappings="xmlns:ns0='http://purl.org/dc/elements/1.1/' xmlns:ns1='http://schemas.openxmlformats.org/package/2006/metadata/core-properties' " w:xpath="/ns1:coreProperties[1]/ns0:title[1]" w:storeItemID="{6C3C8BC8-F283-45AE-878A-BAB7291924A1}"/>
            <w:text/>
          </w:sdtPr>
          <w:sdtEndPr/>
          <w:sdtContent>
            <w:p w:rsidR="00FB76FF" w:rsidRPr="00FB76FF" w:rsidRDefault="00FB76FF" w:rsidP="00FB76FF">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6"/>
                  <w:szCs w:val="116"/>
                </w:rPr>
              </w:pPr>
              <w:r w:rsidRPr="00FB76FF">
                <w:rPr>
                  <w:rFonts w:asciiTheme="majorHAnsi" w:eastAsiaTheme="majorEastAsia" w:hAnsiTheme="majorHAnsi" w:cstheme="majorBidi" w:hint="cs"/>
                  <w:b/>
                  <w:bCs/>
                  <w:caps/>
                  <w:color w:val="5B9BD5" w:themeColor="accent1"/>
                  <w:sz w:val="108"/>
                  <w:szCs w:val="108"/>
                  <w:rtl/>
                </w:rPr>
                <w:t>علم التصنيف</w:t>
              </w:r>
            </w:p>
          </w:sdtContent>
        </w:sdt>
        <w:p w:rsidR="00FB76FF" w:rsidRDefault="00FB76FF">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6C81777" wp14:editId="553916A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B76FF" w:rsidRPr="00241B11" w:rsidRDefault="00241B11" w:rsidP="0078087A">
                                    <w:pPr>
                                      <w:pStyle w:val="NoSpacing"/>
                                      <w:spacing w:after="40"/>
                                      <w:jc w:val="center"/>
                                      <w:rPr>
                                        <w:b/>
                                        <w:bCs/>
                                        <w:caps/>
                                        <w:color w:val="5B9BD5" w:themeColor="accent1"/>
                                        <w:sz w:val="34"/>
                                        <w:szCs w:val="34"/>
                                      </w:rPr>
                                    </w:pPr>
                                    <w:r w:rsidRPr="00241B11">
                                      <w:rPr>
                                        <w:rFonts w:hint="cs"/>
                                        <w:b/>
                                        <w:bCs/>
                                        <w:caps/>
                                        <w:color w:val="5B9BD5" w:themeColor="accent1"/>
                                        <w:sz w:val="34"/>
                                        <w:szCs w:val="34"/>
                                        <w:rtl/>
                                      </w:rPr>
                                      <w:t xml:space="preserve">عمل الطالب/ </w:t>
                                    </w:r>
                                  </w:p>
                                </w:sdtContent>
                              </w:sdt>
                              <w:p w:rsidR="00FB76FF" w:rsidRPr="00241B11" w:rsidRDefault="0078087A" w:rsidP="00241B11">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241B11">
                                      <w:rPr>
                                        <w:b/>
                                        <w:bCs/>
                                        <w:caps/>
                                        <w:color w:val="5B9BD5" w:themeColor="accent1"/>
                                        <w:sz w:val="28"/>
                                        <w:szCs w:val="28"/>
                                        <w:rtl/>
                                      </w:rPr>
                                      <w:t xml:space="preserve">     </w:t>
                                    </w:r>
                                  </w:sdtContent>
                                </w:sdt>
                              </w:p>
                              <w:p w:rsidR="00FB76FF" w:rsidRPr="00241B11" w:rsidRDefault="0078087A" w:rsidP="0078087A">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B76FF" w:rsidRPr="00241B11" w:rsidRDefault="00241B11" w:rsidP="0078087A">
                              <w:pPr>
                                <w:pStyle w:val="NoSpacing"/>
                                <w:spacing w:after="40"/>
                                <w:jc w:val="center"/>
                                <w:rPr>
                                  <w:b/>
                                  <w:bCs/>
                                  <w:caps/>
                                  <w:color w:val="5B9BD5" w:themeColor="accent1"/>
                                  <w:sz w:val="34"/>
                                  <w:szCs w:val="34"/>
                                </w:rPr>
                              </w:pPr>
                              <w:r w:rsidRPr="00241B11">
                                <w:rPr>
                                  <w:rFonts w:hint="cs"/>
                                  <w:b/>
                                  <w:bCs/>
                                  <w:caps/>
                                  <w:color w:val="5B9BD5" w:themeColor="accent1"/>
                                  <w:sz w:val="34"/>
                                  <w:szCs w:val="34"/>
                                  <w:rtl/>
                                </w:rPr>
                                <w:t xml:space="preserve">عمل الطالب/ </w:t>
                              </w:r>
                            </w:p>
                          </w:sdtContent>
                        </w:sdt>
                        <w:p w:rsidR="00FB76FF" w:rsidRPr="00241B11" w:rsidRDefault="0078087A" w:rsidP="00241B11">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241B11">
                                <w:rPr>
                                  <w:b/>
                                  <w:bCs/>
                                  <w:caps/>
                                  <w:color w:val="5B9BD5" w:themeColor="accent1"/>
                                  <w:sz w:val="28"/>
                                  <w:szCs w:val="28"/>
                                  <w:rtl/>
                                </w:rPr>
                                <w:t xml:space="preserve">     </w:t>
                              </w:r>
                            </w:sdtContent>
                          </w:sdt>
                        </w:p>
                        <w:p w:rsidR="00FB76FF" w:rsidRPr="00241B11" w:rsidRDefault="0078087A" w:rsidP="0078087A">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14:anchorId="0A27107D" wp14:editId="17B03CA4">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B76FF" w:rsidRDefault="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FB76FF" w:rsidP="00FB76FF">
          <w:pPr>
            <w:bidi w:val="0"/>
            <w:rPr>
              <w:rFonts w:ascii="Traditional Arabic" w:hAnsi="Traditional Arabic" w:cs="Traditional Arabic"/>
              <w:b/>
              <w:bCs/>
              <w:sz w:val="36"/>
              <w:szCs w:val="36"/>
              <w:u w:val="single"/>
            </w:rPr>
          </w:pPr>
        </w:p>
        <w:p w:rsidR="00FB76FF" w:rsidRDefault="0078087A" w:rsidP="00FB76FF">
          <w:pPr>
            <w:bidi w:val="0"/>
            <w:rPr>
              <w:rFonts w:ascii="Traditional Arabic" w:hAnsi="Traditional Arabic" w:cs="Traditional Arabic"/>
              <w:b/>
              <w:bCs/>
              <w:sz w:val="36"/>
              <w:szCs w:val="36"/>
              <w:u w:val="single"/>
              <w:rtl/>
            </w:rPr>
          </w:pPr>
        </w:p>
      </w:sdtContent>
    </w:sdt>
    <w:p w:rsidR="00FB76FF" w:rsidRPr="00FB76FF" w:rsidRDefault="00FB76FF" w:rsidP="00FB76FF">
      <w:pPr>
        <w:spacing w:line="276" w:lineRule="auto"/>
        <w:jc w:val="center"/>
        <w:rPr>
          <w:rFonts w:ascii="Traditional Arabic" w:hAnsi="Traditional Arabic" w:cs="Traditional Arabic"/>
          <w:b/>
          <w:bCs/>
          <w:sz w:val="36"/>
          <w:szCs w:val="36"/>
          <w:u w:val="single"/>
          <w:rtl/>
        </w:rPr>
      </w:pPr>
      <w:r w:rsidRPr="00FB76FF">
        <w:rPr>
          <w:rFonts w:ascii="Traditional Arabic" w:hAnsi="Traditional Arabic" w:cs="Traditional Arabic"/>
          <w:b/>
          <w:bCs/>
          <w:sz w:val="36"/>
          <w:szCs w:val="36"/>
          <w:u w:val="single"/>
          <w:rtl/>
        </w:rPr>
        <w:lastRenderedPageBreak/>
        <w:t>علم التصنيف</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 xml:space="preserve">علم التصنيف (باللاتينية: </w:t>
      </w:r>
      <w:proofErr w:type="spellStart"/>
      <w:r w:rsidRPr="00FB76FF">
        <w:rPr>
          <w:rFonts w:ascii="Traditional Arabic" w:hAnsi="Traditional Arabic" w:cs="Traditional Arabic"/>
          <w:sz w:val="32"/>
        </w:rPr>
        <w:t>Taxinomia</w:t>
      </w:r>
      <w:proofErr w:type="spellEnd"/>
      <w:r w:rsidRPr="00FB76FF">
        <w:rPr>
          <w:rFonts w:ascii="Traditional Arabic" w:hAnsi="Traditional Arabic" w:cs="Traditional Arabic"/>
          <w:sz w:val="32"/>
          <w:rtl/>
        </w:rPr>
        <w:t xml:space="preserve"> من اليونانية </w:t>
      </w:r>
      <w:proofErr w:type="spellStart"/>
      <w:r w:rsidRPr="00FB76FF">
        <w:rPr>
          <w:rFonts w:ascii="Cambria" w:hAnsi="Cambria" w:cs="Cambria"/>
          <w:sz w:val="32"/>
        </w:rPr>
        <w:t>τάξις</w:t>
      </w:r>
      <w:proofErr w:type="spellEnd"/>
      <w:r w:rsidRPr="00FB76FF">
        <w:rPr>
          <w:rFonts w:ascii="Traditional Arabic" w:hAnsi="Traditional Arabic" w:cs="Traditional Arabic"/>
          <w:sz w:val="32"/>
          <w:rtl/>
        </w:rPr>
        <w:t xml:space="preserve"> أي ترتيب و</w:t>
      </w:r>
      <w:proofErr w:type="spellStart"/>
      <w:r w:rsidRPr="00FB76FF">
        <w:rPr>
          <w:rFonts w:ascii="Cambria" w:hAnsi="Cambria" w:cs="Cambria"/>
          <w:sz w:val="32"/>
        </w:rPr>
        <w:t>νόμος</w:t>
      </w:r>
      <w:proofErr w:type="spellEnd"/>
      <w:r w:rsidRPr="00FB76FF">
        <w:rPr>
          <w:rFonts w:ascii="Traditional Arabic" w:hAnsi="Traditional Arabic" w:cs="Traditional Arabic"/>
          <w:sz w:val="32"/>
          <w:rtl/>
        </w:rPr>
        <w:t xml:space="preserve"> أي علم) يهتم بتصنيف الكائنات الحية بشكل مترابط. ويرتبط علم التصنيف بشكل وثيق بما يسمى التصنيف العلمي للأحياء.</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غالبا ما تكون التصنيفات الحيوية متسلسلة هرميا ترسم بشكل أشجار، أو تمثل أحيانا بشكل مخططات علاقاتية بدلا من مخططات هرمية، فتمثل ببنى شبكية. بعض التصنيفات قد تحوي طفل وحيد لعدة أسلاف فمثلا السيارة في مخطط علاقاتي قد تظهر تحت مركبة وآليات فولاذية. كما يمكن ان يكون ذو تنظيم بسيط يرتب الأغراض في مجموعات بسيطة، أو حتى حسب الترتيب الأبجدي.</w:t>
      </w: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t>التصنيف القديم</w:t>
      </w: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t>تصنيف أرسطو</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أول من بدأ في تصنيف الكائنات إلى مراتب منظمة كان الفيلسوف اليوناني أرسطو(322-394 ق م) وتلميذه ثيوفراستس أول من قام بوضع نظام تصنيف للمخلوقات الحية. فقسم المخلوقات الحية إلى حيوانات ونباتات، ثم صنف الحيوانات تبعا لوجود الدم الأحمر من عدمه، وفي مرحلة لاحقة صنفها تبعا لأشكالها. أما النباتات فقد صنفها حسب حجمها وتركيبها إلى أشجار وشجيرات وأعشاب.</w:t>
      </w: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t xml:space="preserve">تصنيف جون راي </w:t>
      </w:r>
      <w:r w:rsidRPr="00FB76FF">
        <w:rPr>
          <w:rFonts w:ascii="Traditional Arabic" w:hAnsi="Traditional Arabic" w:cs="Traditional Arabic"/>
          <w:b/>
          <w:bCs/>
          <w:sz w:val="32"/>
          <w:u w:val="single"/>
        </w:rPr>
        <w:t>John Ray</w:t>
      </w:r>
    </w:p>
    <w:p w:rsid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يعتبر جون راي أول من حاول تصنيف النباتات والحيوانات على أساس علمي هو التشابه والاختلاف في الصفات الخارجية(المورفولوجية). وهو أيضًا عرف النوع واعتبره الوحدة الأساسية للتصنيف.</w:t>
      </w:r>
    </w:p>
    <w:p w:rsidR="00241B11" w:rsidRDefault="00241B11" w:rsidP="00FB76FF">
      <w:pPr>
        <w:spacing w:line="276" w:lineRule="auto"/>
        <w:jc w:val="mediumKashida"/>
        <w:rPr>
          <w:rFonts w:ascii="Traditional Arabic" w:hAnsi="Traditional Arabic" w:cs="Traditional Arabic"/>
          <w:sz w:val="32"/>
          <w:rtl/>
        </w:rPr>
      </w:pPr>
    </w:p>
    <w:p w:rsidR="00241B11" w:rsidRPr="00FB76FF" w:rsidRDefault="00241B11" w:rsidP="00FB76FF">
      <w:pPr>
        <w:spacing w:line="276" w:lineRule="auto"/>
        <w:jc w:val="mediumKashida"/>
        <w:rPr>
          <w:rFonts w:ascii="Traditional Arabic" w:hAnsi="Traditional Arabic" w:cs="Traditional Arabic"/>
          <w:sz w:val="32"/>
          <w:rtl/>
        </w:rPr>
      </w:pP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lastRenderedPageBreak/>
        <w:t>تصنيف كارلوس لينيوس</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قام العالم السويدي كارلوس لينيوس (1707-1778 م) بتوسيع نظام تصنيف أرسطو، واستخدم نفس طريقة تصنيف أرسطو تبعا للفروق بين المخلوقات في الشكل والسلوك والبيئة ومنذ تصنيف لينيوس اعتمد نظامهه باعتباره أول نظام رسمي للتصنيف</w:t>
      </w: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t>مبادئ لينيوس في التصنيف</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التسمية الثنائية: هي طريقة لينيوس في تسمية المخلوقات وتسمى التسمية الثنائية. التسمية الثنائية تعطي كل نوع اسما علميا مكونا من جزئين هما اسم الجنس واسم النوع. وقد استخدمت اللغة اللاتينية كأساس للتسمية.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وضع العالم لينيوس قواعد للتسمية الثنائية هي:</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يكتب الحرف الأول من اسم الجنس حرفا كبيرا، بينما تكتب بقية الأحرف صغيرة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إذا كُتب في الكتب أو المجلات يجب أن يكتب بخط مائل</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إذا كُتب بخط اليد يجب وضع خط تحت اجزائه جميعها</w:t>
      </w: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t>مستويات التصنيف</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يتم ترتيب الكائنات الحية إلى مجموعات بناء على خصائصها، فالتصنيف الذي يستخدمه العلماء هو جزء من نظام هرمي متسلسل تقع فيه كل فئة ضمن الأخرى:</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 xml:space="preserve">النوع </w:t>
      </w:r>
      <w:r w:rsidRPr="00FB76FF">
        <w:rPr>
          <w:rFonts w:ascii="Traditional Arabic" w:hAnsi="Traditional Arabic" w:cs="Traditional Arabic"/>
          <w:sz w:val="32"/>
        </w:rPr>
        <w:t>species</w:t>
      </w:r>
      <w:r w:rsidRPr="00FB76FF">
        <w:rPr>
          <w:rFonts w:ascii="Traditional Arabic" w:hAnsi="Traditional Arabic" w:cs="Traditional Arabic"/>
          <w:sz w:val="32"/>
          <w:rtl/>
        </w:rPr>
        <w:t xml:space="preserve"> يعرف بأنه مجموعة من الكائنات الحية المتشابهة فالشكل والتكيف قادرة على التزاوج بينها وإنتاج جيل خصب فالظروف الطبيعية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 xml:space="preserve">اما الجنس </w:t>
      </w:r>
      <w:r w:rsidRPr="00FB76FF">
        <w:rPr>
          <w:rFonts w:ascii="Traditional Arabic" w:hAnsi="Traditional Arabic" w:cs="Traditional Arabic"/>
          <w:sz w:val="32"/>
        </w:rPr>
        <w:t>genus</w:t>
      </w:r>
      <w:r w:rsidRPr="00FB76FF">
        <w:rPr>
          <w:rFonts w:ascii="Traditional Arabic" w:hAnsi="Traditional Arabic" w:cs="Traditional Arabic"/>
          <w:sz w:val="32"/>
          <w:rtl/>
        </w:rPr>
        <w:t xml:space="preserve"> فيعرف بانه مجموعة من الأنواع أكثر ترابطا وتشابها وتشترك في اصل واحد</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 xml:space="preserve">الفصيلة </w:t>
      </w:r>
      <w:r w:rsidRPr="00FB76FF">
        <w:rPr>
          <w:rFonts w:ascii="Traditional Arabic" w:hAnsi="Traditional Arabic" w:cs="Traditional Arabic"/>
          <w:sz w:val="32"/>
        </w:rPr>
        <w:t>Family</w:t>
      </w:r>
      <w:r w:rsidRPr="00FB76FF">
        <w:rPr>
          <w:rFonts w:ascii="Traditional Arabic" w:hAnsi="Traditional Arabic" w:cs="Traditional Arabic"/>
          <w:sz w:val="32"/>
          <w:rtl/>
        </w:rPr>
        <w:t xml:space="preserve"> وهي المرتبة الأعلى بعد الجنس وتتكون من اجناس متشابهة ومتقاربة فيما بينها</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lastRenderedPageBreak/>
        <w:t xml:space="preserve">الرتبة </w:t>
      </w:r>
      <w:r w:rsidRPr="00FB76FF">
        <w:rPr>
          <w:rFonts w:ascii="Traditional Arabic" w:hAnsi="Traditional Arabic" w:cs="Traditional Arabic"/>
          <w:sz w:val="32"/>
        </w:rPr>
        <w:t>order</w:t>
      </w:r>
      <w:r w:rsidRPr="00FB76FF">
        <w:rPr>
          <w:rFonts w:ascii="Traditional Arabic" w:hAnsi="Traditional Arabic" w:cs="Traditional Arabic"/>
          <w:sz w:val="32"/>
          <w:rtl/>
        </w:rPr>
        <w:t xml:space="preserve"> وهي تضم عائلات متقاربة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 xml:space="preserve">الطائفة </w:t>
      </w:r>
      <w:r w:rsidRPr="00FB76FF">
        <w:rPr>
          <w:rFonts w:ascii="Traditional Arabic" w:hAnsi="Traditional Arabic" w:cs="Traditional Arabic"/>
          <w:sz w:val="32"/>
        </w:rPr>
        <w:t>class</w:t>
      </w:r>
      <w:r w:rsidRPr="00FB76FF">
        <w:rPr>
          <w:rFonts w:ascii="Traditional Arabic" w:hAnsi="Traditional Arabic" w:cs="Traditional Arabic"/>
          <w:sz w:val="32"/>
          <w:rtl/>
        </w:rPr>
        <w:t xml:space="preserve"> تضم رتبا ذات علاقة مع بعضها البعض</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 xml:space="preserve">الشعبة </w:t>
      </w:r>
      <w:r w:rsidRPr="00FB76FF">
        <w:rPr>
          <w:rFonts w:ascii="Traditional Arabic" w:hAnsi="Traditional Arabic" w:cs="Traditional Arabic"/>
          <w:sz w:val="32"/>
        </w:rPr>
        <w:t>phylum</w:t>
      </w:r>
      <w:r w:rsidRPr="00FB76FF">
        <w:rPr>
          <w:rFonts w:ascii="Traditional Arabic" w:hAnsi="Traditional Arabic" w:cs="Traditional Arabic"/>
          <w:sz w:val="32"/>
          <w:rtl/>
        </w:rPr>
        <w:t xml:space="preserve"> تضم طوائف متشابهة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 xml:space="preserve">المملكة </w:t>
      </w:r>
      <w:r w:rsidRPr="00FB76FF">
        <w:rPr>
          <w:rFonts w:ascii="Traditional Arabic" w:hAnsi="Traditional Arabic" w:cs="Traditional Arabic"/>
          <w:sz w:val="32"/>
        </w:rPr>
        <w:t>kingdom</w:t>
      </w:r>
      <w:r w:rsidRPr="00FB76FF">
        <w:rPr>
          <w:rFonts w:ascii="Traditional Arabic" w:hAnsi="Traditional Arabic" w:cs="Traditional Arabic"/>
          <w:sz w:val="32"/>
          <w:rtl/>
        </w:rPr>
        <w:t xml:space="preserve"> وكانت تعد اوسع مراتب التصنيف لكن مرتبة أخرى اضيفت وهي مرتبة فوق المملكة </w:t>
      </w:r>
      <w:r w:rsidRPr="00FB76FF">
        <w:rPr>
          <w:rFonts w:ascii="Traditional Arabic" w:hAnsi="Traditional Arabic" w:cs="Traditional Arabic"/>
          <w:sz w:val="32"/>
        </w:rPr>
        <w:t>domain</w:t>
      </w: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t>مثال القطة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المملكة: حيوانات متعددة الخلايا</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الشعبة: الحبليات</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شعبة تحتية: فقاريات</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الصف: فقاريات رباعية الأطراف</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الطائفة: ثدييات</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الرتبة: حيوان مفترس</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العائلة الكبرى: قططي</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العائلة: قطة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الجنس: قطة برية من العالم القديم</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النوع: قطة برية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نوع تحتي: قطة منزلية</w:t>
      </w: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t>تصنيف حديث مكمل</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 xml:space="preserve">تم اعتماد هذا التصنيف منذ اقل من عقدين من الزمن، بعد أن تم اكتشاف مخلوفات حية جديدة في السبعينيات من القرن الماضي. كانت المخلوقات بدائية النوى وحيدة الخلية وسماها </w:t>
      </w:r>
      <w:r w:rsidRPr="00FB76FF">
        <w:rPr>
          <w:rFonts w:ascii="Traditional Arabic" w:hAnsi="Traditional Arabic" w:cs="Traditional Arabic"/>
          <w:sz w:val="32"/>
          <w:rtl/>
        </w:rPr>
        <w:lastRenderedPageBreak/>
        <w:t>العلماء البكتيريا البدائية، وبينت الكيمياء الحيوية ان البكتيرياالبدائية لا تشبه البدائية النوى المعروفة آنذاك - أي البكتيريا - ولذلك أضافوا 3 فوق ممالك عام 1990 إلى النظام السابق:</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تم في هذا التصنيف إضافة 3 فوق ممالك وهي:</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فوق مملكة البدائيات وتضم مملكة البكتيريا البدائية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فوق مملكة البكتيريا وتضم مملكة االبكتيريا الحقيقية</w:t>
      </w:r>
    </w:p>
    <w:p w:rsidR="00FB76FF" w:rsidRPr="00FB76FF" w:rsidRDefault="00FB76FF" w:rsidP="00FB76FF">
      <w:pPr>
        <w:spacing w:line="276" w:lineRule="auto"/>
        <w:jc w:val="mediumKashida"/>
        <w:rPr>
          <w:rFonts w:ascii="Traditional Arabic" w:hAnsi="Traditional Arabic" w:cs="Traditional Arabic"/>
          <w:sz w:val="32"/>
          <w:rtl/>
        </w:rPr>
      </w:pPr>
      <w:r w:rsidRPr="00FB76FF">
        <w:rPr>
          <w:rFonts w:ascii="Traditional Arabic" w:hAnsi="Traditional Arabic" w:cs="Traditional Arabic"/>
          <w:sz w:val="32"/>
          <w:rtl/>
        </w:rPr>
        <w:t>فوق مملكة حقيقة النوى وتضم 4 ممالك هي: مملكة الطلائعيات ومملكة الفطريات ومملكة الحيوانات والمملكة النباتية</w:t>
      </w:r>
    </w:p>
    <w:p w:rsidR="00FB76FF" w:rsidRPr="00FB76FF" w:rsidRDefault="00FB76FF" w:rsidP="00FB76FF">
      <w:pPr>
        <w:spacing w:line="276" w:lineRule="auto"/>
        <w:jc w:val="mediumKashida"/>
        <w:rPr>
          <w:rFonts w:ascii="Traditional Arabic" w:hAnsi="Traditional Arabic" w:cs="Traditional Arabic"/>
          <w:b/>
          <w:bCs/>
          <w:sz w:val="32"/>
          <w:u w:val="single"/>
          <w:rtl/>
        </w:rPr>
      </w:pPr>
      <w:r w:rsidRPr="00FB76FF">
        <w:rPr>
          <w:rFonts w:ascii="Traditional Arabic" w:hAnsi="Traditional Arabic" w:cs="Traditional Arabic"/>
          <w:b/>
          <w:bCs/>
          <w:sz w:val="32"/>
          <w:u w:val="single"/>
          <w:rtl/>
        </w:rPr>
        <w:t>الفيروسات</w:t>
      </w:r>
    </w:p>
    <w:p w:rsidR="00A427A8" w:rsidRPr="00FB76FF" w:rsidRDefault="00FB76FF" w:rsidP="00FB76FF">
      <w:pPr>
        <w:spacing w:line="276" w:lineRule="auto"/>
        <w:jc w:val="mediumKashida"/>
        <w:rPr>
          <w:rFonts w:ascii="Traditional Arabic" w:hAnsi="Traditional Arabic" w:cs="Traditional Arabic"/>
          <w:sz w:val="32"/>
        </w:rPr>
      </w:pPr>
      <w:r w:rsidRPr="00FB76FF">
        <w:rPr>
          <w:rFonts w:ascii="Traditional Arabic" w:hAnsi="Traditional Arabic" w:cs="Traditional Arabic"/>
          <w:sz w:val="32"/>
          <w:rtl/>
        </w:rPr>
        <w:t>لم يتم وضع الفايروسات ضمن نظام التصنيف هذا بل استحدث نظام خاص لها لوضعها في مجموعات متعلقة.</w:t>
      </w:r>
      <w:bookmarkEnd w:id="0"/>
    </w:p>
    <w:sectPr w:rsidR="00A427A8" w:rsidRPr="00FB76FF" w:rsidSect="00FB76FF">
      <w:pgSz w:w="11906" w:h="16838"/>
      <w:pgMar w:top="1440" w:right="1800" w:bottom="1440" w:left="180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FF"/>
    <w:rsid w:val="00241B11"/>
    <w:rsid w:val="004028C6"/>
    <w:rsid w:val="004F3CD9"/>
    <w:rsid w:val="0078087A"/>
    <w:rsid w:val="00872267"/>
    <w:rsid w:val="00FB7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6FF"/>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FB76FF"/>
    <w:rPr>
      <w:rFonts w:eastAsiaTheme="minorEastAsia" w:cstheme="minorBidi"/>
      <w:szCs w:val="22"/>
    </w:rPr>
  </w:style>
  <w:style w:type="paragraph" w:styleId="BalloonText">
    <w:name w:val="Balloon Text"/>
    <w:basedOn w:val="Normal"/>
    <w:link w:val="BalloonTextChar"/>
    <w:uiPriority w:val="99"/>
    <w:semiHidden/>
    <w:unhideWhenUsed/>
    <w:rsid w:val="00241B1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41B11"/>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6FF"/>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FB76FF"/>
    <w:rPr>
      <w:rFonts w:eastAsiaTheme="minorEastAsia" w:cstheme="minorBidi"/>
      <w:szCs w:val="22"/>
    </w:rPr>
  </w:style>
  <w:style w:type="paragraph" w:styleId="BalloonText">
    <w:name w:val="Balloon Text"/>
    <w:basedOn w:val="Normal"/>
    <w:link w:val="BalloonTextChar"/>
    <w:uiPriority w:val="99"/>
    <w:semiHidden/>
    <w:unhideWhenUsed/>
    <w:rsid w:val="00241B1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41B1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9D"/>
    <w:rsid w:val="001A4166"/>
    <w:rsid w:val="00501D9D"/>
    <w:rsid w:val="005319FE"/>
    <w:rsid w:val="0062060A"/>
    <w:rsid w:val="00EA4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40B676A414473988022CF2689EFA62">
    <w:name w:val="3340B676A414473988022CF2689EFA62"/>
    <w:rsid w:val="00501D9D"/>
    <w:pPr>
      <w:bidi/>
    </w:pPr>
  </w:style>
  <w:style w:type="paragraph" w:customStyle="1" w:styleId="B6D8842998224317859BFB0BE8FFDFD2">
    <w:name w:val="B6D8842998224317859BFB0BE8FFDFD2"/>
    <w:rsid w:val="00501D9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40B676A414473988022CF2689EFA62">
    <w:name w:val="3340B676A414473988022CF2689EFA62"/>
    <w:rsid w:val="00501D9D"/>
    <w:pPr>
      <w:bidi/>
    </w:pPr>
  </w:style>
  <w:style w:type="paragraph" w:customStyle="1" w:styleId="B6D8842998224317859BFB0BE8FFDFD2">
    <w:name w:val="B6D8842998224317859BFB0BE8FFDFD2"/>
    <w:rsid w:val="00501D9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علم التصنيف</dc:title>
  <dc:subject/>
  <dc:creator>well</dc:creator>
  <cp:keywords/>
  <dc:description/>
  <cp:lastModifiedBy>SilverLine</cp:lastModifiedBy>
  <cp:revision>3</cp:revision>
  <cp:lastPrinted>2017-11-05T19:53:00Z</cp:lastPrinted>
  <dcterms:created xsi:type="dcterms:W3CDTF">2017-11-05T13:06:00Z</dcterms:created>
  <dcterms:modified xsi:type="dcterms:W3CDTF">2019-06-26T11:05:00Z</dcterms:modified>
</cp:coreProperties>
</file>